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 xml:space="preserve">Upon </w:t>
      </w:r>
      <w:r>
        <w:rPr>
          <w:rFonts w:ascii="Times New Roman" w:hAnsi="Times New Roman"/>
          <w:sz w:val="24"/>
          <w:szCs w:val="24"/>
        </w:rPr>
        <w:t>reviewing Study 4, following reason for operationalization was found, which is now used: “</w:t>
      </w:r>
      <w:r>
        <w:rPr>
          <w:rFonts w:ascii="Times New Roman" w:hAnsi="Times New Roman"/>
          <w:sz w:val="24"/>
          <w:szCs w:val="24"/>
        </w:rPr>
        <w:t>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w:t>
      </w:r>
      <w:r>
        <w:rPr>
          <w:rFonts w:ascii="Times New Roman" w:hAnsi="Times New Roman"/>
          <w:sz w:val="24"/>
          <w:szCs w:val="24"/>
        </w:rPr>
        <w:t>”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“Yes,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 xml:space="preserve">Review Study5 </w:t>
      </w:r>
      <w:r>
        <w:rPr>
          <w:rFonts w:ascii="Times New Roman" w:hAnsi="Times New Roman"/>
          <w:sz w:val="24"/>
          <w:szCs w:val="24"/>
        </w:rPr>
        <w:t>and added following to reason for operationalization: “</w:t>
      </w:r>
      <w:r>
        <w:rPr>
          <w:rFonts w:ascii="Times New Roman" w:hAnsi="Times New Roman"/>
          <w:sz w:val="24"/>
          <w:szCs w:val="24"/>
        </w:rPr>
        <w:t>A principal-axis factor analysis using varimax rotation of thefive social class items yielded a single factor with an eigenvalueabove 1.0 (2.99) that accounted for 60% of the variance. All factorloadings exceeded .58. Moreover, the measures for childhoodsocial class (M</w:t>
        <w:t>4.66,SD</w:t>
        <w:t>1.39,</w:t>
        <w:t>.77) and current socialclass (M</w:t>
        <w:t>4.61,SD</w:t>
        <w:t>1.58,</w:t>
        <w:t>.77) were highly correlated,r(112)</w:t>
        <w:t>.58,p</w:t>
        <w:t>.01, and the five items demonstrated highinternal consistency (</w:t>
        <w:t>.82). Thus, we formed a compositemeasure by averaging the five childhood and current social classitems (M</w:t>
        <w:t>4.64,SD</w:t>
        <w:t xml:space="preserve">1.29).” </w:t>
      </w:r>
      <w:r>
        <w:rPr>
          <w:rFonts w:ascii="Times New Roman" w:hAnsi="Times New Roman"/>
          <w:sz w:val="24"/>
          <w:szCs w:val="24"/>
        </w:rPr>
        <w:t>(p.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w:t>
      </w:r>
      <w:r>
        <w:rPr>
          <w:rFonts w:ascii="Times New Roman" w:hAnsi="Times New Roman"/>
          <w:sz w:val="24"/>
          <w:szCs w:val="24"/>
        </w:rPr>
        <w:t xml:space="preserve"> quote </w:t>
      </w:r>
      <w:r>
        <w:rPr>
          <w:rFonts w:ascii="Times New Roman" w:hAnsi="Times New Roman"/>
          <w:sz w:val="24"/>
          <w:szCs w:val="24"/>
        </w:rPr>
        <w:t xml:space="preserve">for all studies </w:t>
      </w:r>
      <w:r>
        <w:rPr>
          <w:rFonts w:ascii="Times New Roman" w:hAnsi="Times New Roman"/>
          <w:sz w:val="24"/>
          <w:szCs w:val="24"/>
        </w:rPr>
        <w:t>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Added following to </w:t>
      </w:r>
      <w:r>
        <w:rPr>
          <w:rFonts w:ascii="Times New Roman" w:hAnsi="Times New Roman"/>
          <w:sz w:val="24"/>
          <w:szCs w:val="24"/>
        </w:rPr>
        <w:t xml:space="preserve">all reason </w:t>
      </w:r>
      <w:r>
        <w:rPr>
          <w:rFonts w:ascii="Times New Roman" w:hAnsi="Times New Roman"/>
          <w:sz w:val="24"/>
          <w:szCs w:val="24"/>
        </w:rPr>
        <w:t>quote</w:t>
      </w:r>
      <w:r>
        <w:rPr>
          <w:rFonts w:ascii="Times New Roman" w:hAnsi="Times New Roman"/>
          <w:sz w:val="24"/>
          <w:szCs w:val="24"/>
        </w:rPr>
        <w:t>s</w:t>
      </w:r>
      <w:r>
        <w:rPr>
          <w:rFonts w:ascii="Times New Roman" w:hAnsi="Times New Roman"/>
          <w:sz w:val="24"/>
          <w:szCs w:val="24"/>
        </w:rPr>
        <w:t>: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3105</TotalTime>
  <Application>LibreOffice/5.4.5.1$MacOSX_X86_64 LibreOffice_project/79c9829dd5d8054ec39a82dc51cd9eff340dbee8</Application>
  <Pages>14</Pages>
  <Words>4711</Words>
  <Characters>23816</Characters>
  <CharactersWithSpaces>27560</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2020-06-07T18:59:17Z</dcterms:modified>
  <cp:revision>92</cp:revision>
  <dc:subject/>
  <dc:title/>
</cp:coreProperties>
</file>