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5.15.20 = Start date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All changes: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“sesIVorDV”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Why: </w:t>
      </w:r>
      <w:bookmarkStart w:id="0" w:name="__DdeLink__70_3556924425"/>
      <w:bookmarkEnd w:id="0"/>
      <w:r>
        <w:rPr>
          <w:rFonts w:ascii="Times New Roman" w:hAnsi="Times New Roman"/>
        </w:rPr>
        <w:t>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Could indicate either IV or DV if “Yes” was answered. “No” was reserved for papers that did not examine SES.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Yes” replaced with only “IV” or “DV”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or “*SES not found” replaced with “Did not study SES”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“sesMainEffect”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“No” for papers that did not examine 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papers that did not examine SES (see “sesIVorDV”), removed any codes given (e.g., from “No” to “”).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Papers coded “IV” changed to “” </w:t>
      </w:r>
      <w:r>
        <w:rPr>
          <w:rFonts w:ascii="Times New Roman" w:hAnsi="Times New Roman"/>
          <w:color w:val="CE181E"/>
        </w:rPr>
        <w:t>← haven’t finished this one yet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“sesMainInterest”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“No” for papers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papers that did not examine SES (see “sesIVorDV”), removed any codes given (e.g., from “No” to “”).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 papers to revisit accuracy of codes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 xml:space="preserve">Why: Some codes had inconsistencies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for “sesIVorDV” with other responses answered affirmatively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“studiesMainEffect”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“sesMainInterest”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Listed an operationalization of SES as a definition of SES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Answered affirmatively for multiple variables but left “SESDef” blank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Highlighted entire row in Yellow 2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“SESDef”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Some answered “None given” for papers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Changed all versions of “none given” to “None given”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papers that did not examine SES (see “sesIVorDV”), removed any codes given (e.g., from “none given” to “”).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study operationalization columns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different codes to indicate that SES wasn’t studied in particular study (e.g., “n/a”, “not studied”, “none given”)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put “none given” for papers that didn’t study SES (see “sesIVorDV”)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particular studies that didn’t examine SES, but the overall paper did, changed whichever code was given to “Did not study SES”</w:t>
      </w:r>
    </w:p>
    <w:p>
      <w:pPr>
        <w:pStyle w:val="Normal"/>
        <w:numPr>
          <w:ilvl w:val="2"/>
          <w:numId w:val="1"/>
        </w:numPr>
        <w:rPr/>
      </w:pPr>
      <w:bookmarkStart w:id="1" w:name="__DdeLink__108_1124321960"/>
      <w:bookmarkEnd w:id="1"/>
      <w:r>
        <w:rPr>
          <w:rFonts w:ascii="Times New Roman" w:hAnsi="Times New Roman"/>
        </w:rPr>
        <w:t xml:space="preserve">For papers that did not study SES (see “sesIVorDV”), removed any codes given (e.g.,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“none given” to “”).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reasons for study operationalization columns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different codes to indicate that SES wasn’t studied in particular study (e.g., “n/a”, “not studied”, “none given”)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put “none given” for papers that didn’t study SES (see “sesIVorDV”)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For particular studies that didn’t examine SES, but the overall paper did, changed whichever code was given to “Did not study SES”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papers that did not study SES (see “sesIVorDV”), removed any codes given (e.g., </w:t>
      </w:r>
      <w:r>
        <w:rPr>
          <w:rFonts w:ascii="Times New Roman" w:hAnsi="Times New Roman"/>
        </w:rPr>
        <w:t>from</w:t>
      </w:r>
      <w:r>
        <w:rPr>
          <w:rFonts w:ascii="Times New Roman" w:hAnsi="Times New Roman"/>
        </w:rPr>
        <w:t xml:space="preserve"> “none given” to “”).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ascii="Times New Roman" w:hAnsi="Times New Roman" w:cs="OpenSymbol"/>
    </w:rPr>
  </w:style>
  <w:style w:type="character" w:styleId="ListLabel12">
    <w:name w:val="ListLabel 12"/>
    <w:qFormat/>
    <w:rPr>
      <w:rFonts w:ascii="Times New Roman" w:hAnsi="Times New Roman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Times New Roman" w:hAnsi="Times New Roman" w:cs="OpenSymbol"/>
    </w:rPr>
  </w:style>
  <w:style w:type="character" w:styleId="ListLabel20">
    <w:name w:val="ListLabel 20"/>
    <w:qFormat/>
    <w:rPr>
      <w:rFonts w:ascii="Times New Roman" w:hAnsi="Times New Roman" w:cs="OpenSymbol"/>
    </w:rPr>
  </w:style>
  <w:style w:type="character" w:styleId="ListLabel21">
    <w:name w:val="ListLabel 21"/>
    <w:qFormat/>
    <w:rPr>
      <w:rFonts w:ascii="Times New Roman" w:hAnsi="Times New Roman"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LibreOffice/5.4.5.1$MacOSX_X86_64 LibreOffice_project/79c9829dd5d8054ec39a82dc51cd9eff340dbee8</Application>
  <Pages>2</Pages>
  <Words>557</Words>
  <Characters>2734</Characters>
  <CharactersWithSpaces>3175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2020-05-15T15:43:47Z</dcterms:created>
  <dc:creator/>
  <dc:description/>
  <dc:language>en-US</dc:language>
  <cp:lastModifiedBy/>
  <dcterms:modified xsi:type="dcterms:W3CDTF">2020-05-19T13:19:07Z</dcterms:modified>
  <cp:revision>24</cp:revision>
  <dc:subject/>
  <dc:title/>
</cp:coreProperties>
</file>