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5.15.20 = Start date</w:t>
      </w:r>
    </w:p>
    <w:p>
      <w:pPr>
        <w:pStyle w:val="Normal"/>
        <w:rPr>
          <w:rFonts w:ascii="Times New Roman" w:hAnsi="Times New Roman"/>
        </w:rPr>
      </w:pPr>
      <w:r>
        <w:rPr>
          <w:rFonts w:ascii="Times New Roman" w:hAnsi="Times New Roman"/>
        </w:rPr>
      </w:r>
    </w:p>
    <w:p>
      <w:pPr>
        <w:pStyle w:val="Normal"/>
        <w:rPr/>
      </w:pPr>
      <w:r>
        <w:rPr>
          <w:rFonts w:ascii="Times New Roman" w:hAnsi="Times New Roman"/>
        </w:rPr>
        <w:t>All changes:</w:t>
      </w:r>
    </w:p>
    <w:p>
      <w:pPr>
        <w:pStyle w:val="Normal"/>
        <w:numPr>
          <w:ilvl w:val="0"/>
          <w:numId w:val="1"/>
        </w:numPr>
        <w:rPr>
          <w:rFonts w:ascii="Times New Roman" w:hAnsi="Times New Roman"/>
        </w:rPr>
      </w:pPr>
      <w:r>
        <w:rPr>
          <w:rFonts w:ascii="Times New Roman" w:hAnsi="Times New Roman"/>
        </w:rPr>
        <w:t>Clean codes for “sesIVorDV”</w:t>
      </w:r>
    </w:p>
    <w:p>
      <w:pPr>
        <w:pStyle w:val="Normal"/>
        <w:numPr>
          <w:ilvl w:val="1"/>
          <w:numId w:val="1"/>
        </w:numPr>
        <w:rPr>
          <w:rFonts w:ascii="Times New Roman" w:hAnsi="Times New Roman"/>
        </w:rPr>
      </w:pPr>
      <w:r>
        <w:rPr>
          <w:rFonts w:ascii="Times New Roman" w:hAnsi="Times New Roman"/>
        </w:rPr>
        <w:t xml:space="preserve">Why: </w:t>
      </w:r>
      <w:bookmarkStart w:id="0" w:name="__DdeLink__70_3556924425"/>
      <w:bookmarkEnd w:id="0"/>
      <w:r>
        <w:rPr>
          <w:rFonts w:ascii="Times New Roman" w:hAnsi="Times New Roman"/>
        </w:rPr>
        <w:t>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Could indicate either IV or DV if “Yes” was answered. “No” was reserved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 xml:space="preserve">Yes” replaced with only “IV” or “DV” </w:t>
      </w:r>
    </w:p>
    <w:p>
      <w:pPr>
        <w:pStyle w:val="Normal"/>
        <w:numPr>
          <w:ilvl w:val="2"/>
          <w:numId w:val="1"/>
        </w:numPr>
        <w:rPr>
          <w:rFonts w:ascii="Times New Roman" w:hAnsi="Times New Roman"/>
        </w:rPr>
      </w:pPr>
      <w:r>
        <w:rPr>
          <w:rFonts w:ascii="Times New Roman" w:hAnsi="Times New Roman"/>
        </w:rPr>
        <w:t>“</w:t>
      </w:r>
      <w:r>
        <w:rPr>
          <w:rFonts w:ascii="Times New Roman" w:hAnsi="Times New Roman"/>
        </w:rPr>
        <w:t>No” or “*SES not found” replaced with “Did not study SES”</w:t>
      </w:r>
    </w:p>
    <w:p>
      <w:pPr>
        <w:pStyle w:val="Normal"/>
        <w:numPr>
          <w:ilvl w:val="0"/>
          <w:numId w:val="1"/>
        </w:numPr>
        <w:rPr>
          <w:rFonts w:ascii="Times New Roman" w:hAnsi="Times New Roman"/>
        </w:rPr>
      </w:pPr>
      <w:r>
        <w:rPr>
          <w:rFonts w:ascii="Times New Roman" w:hAnsi="Times New Roman"/>
        </w:rPr>
        <w:t>Clean codes for “sesMainEffect”</w:t>
      </w:r>
    </w:p>
    <w:p>
      <w:pPr>
        <w:pStyle w:val="Normal"/>
        <w:numPr>
          <w:ilvl w:val="1"/>
          <w:numId w:val="1"/>
        </w:numPr>
        <w:rPr>
          <w:rFonts w:ascii="Times New Roman" w:hAnsi="Times New Roman"/>
        </w:rPr>
      </w:pPr>
      <w:r>
        <w:rPr>
          <w:rFonts w:ascii="Times New Roman" w:hAnsi="Times New Roman"/>
        </w:rPr>
        <w:t>Why: RA’s used slightly different versions of codes for this section</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rFonts w:ascii="Times New Roman" w:hAnsi="Times New Roman"/>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rFonts w:ascii="Times New Roman" w:hAnsi="Times New Roman"/>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2"/>
          <w:numId w:val="1"/>
        </w:numPr>
        <w:rPr>
          <w:rFonts w:ascii="Times New Roman" w:hAnsi="Times New Roman"/>
          <w:color w:val="CE181E"/>
        </w:rPr>
      </w:pPr>
      <w:r>
        <w:rPr>
          <w:rFonts w:ascii="Times New Roman" w:hAnsi="Times New Roman"/>
        </w:rPr>
        <w:t xml:space="preserve">Paper coded “IV” changed to “Yes” </w:t>
      </w:r>
    </w:p>
    <w:p>
      <w:pPr>
        <w:pStyle w:val="Normal"/>
        <w:numPr>
          <w:ilvl w:val="0"/>
          <w:numId w:val="1"/>
        </w:numPr>
        <w:rPr>
          <w:rFonts w:ascii="Times New Roman" w:hAnsi="Times New Roman"/>
        </w:rPr>
      </w:pPr>
      <w:r>
        <w:rPr>
          <w:rFonts w:ascii="Times New Roman" w:hAnsi="Times New Roman"/>
        </w:rPr>
        <w:t>Clean codes for “sesMainInterest”</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Capitalized all codes (i.e., from “yes” to “Yes”)</w:t>
      </w:r>
    </w:p>
    <w:p>
      <w:pPr>
        <w:pStyle w:val="Normal"/>
        <w:numPr>
          <w:ilvl w:val="2"/>
          <w:numId w:val="1"/>
        </w:numPr>
        <w:rPr/>
      </w:pPr>
      <w:r>
        <w:rPr>
          <w:rFonts w:ascii="Times New Roman" w:hAnsi="Times New Roman"/>
        </w:rPr>
        <w:t>For papers that did not examine SES (see “sesIVorDV”), removed any codes given (e.g., from “No” to “”).</w:t>
      </w:r>
    </w:p>
    <w:p>
      <w:pPr>
        <w:pStyle w:val="Normal"/>
        <w:numPr>
          <w:ilvl w:val="0"/>
          <w:numId w:val="1"/>
        </w:numPr>
        <w:rPr>
          <w:rFonts w:ascii="Times New Roman" w:hAnsi="Times New Roman"/>
        </w:rPr>
      </w:pPr>
      <w:r>
        <w:rPr>
          <w:rFonts w:ascii="Times New Roman" w:hAnsi="Times New Roman"/>
        </w:rPr>
        <w:t>Highlight papers to revisit accuracy of codes</w:t>
      </w:r>
    </w:p>
    <w:p>
      <w:pPr>
        <w:pStyle w:val="Normal"/>
        <w:numPr>
          <w:ilvl w:val="1"/>
          <w:numId w:val="1"/>
        </w:numPr>
        <w:rPr/>
      </w:pPr>
      <w:r>
        <w:rPr>
          <w:rFonts w:ascii="Times New Roman" w:hAnsi="Times New Roman"/>
        </w:rPr>
        <w:t xml:space="preserve">Why: Some codes had inconsistencies </w:t>
      </w:r>
    </w:p>
    <w:p>
      <w:pPr>
        <w:pStyle w:val="Normal"/>
        <w:numPr>
          <w:ilvl w:val="1"/>
          <w:numId w:val="1"/>
        </w:numPr>
        <w:rPr>
          <w:rFonts w:ascii="Times New Roman" w:hAnsi="Times New Roman"/>
        </w:rPr>
      </w:pPr>
      <w:r>
        <w:rPr>
          <w:rFonts w:ascii="Times New Roman" w:hAnsi="Times New Roman"/>
        </w:rPr>
        <w:t>Original:</w:t>
      </w:r>
    </w:p>
    <w:p>
      <w:pPr>
        <w:pStyle w:val="Normal"/>
        <w:numPr>
          <w:ilvl w:val="2"/>
          <w:numId w:val="1"/>
        </w:numPr>
        <w:rPr/>
      </w:pPr>
      <w:r>
        <w:rPr>
          <w:rFonts w:ascii="Times New Roman" w:hAnsi="Times New Roman"/>
        </w:rPr>
        <w:t>“</w:t>
      </w:r>
      <w:r>
        <w:rPr>
          <w:rFonts w:ascii="Times New Roman" w:hAnsi="Times New Roman"/>
        </w:rPr>
        <w:t>No” for “sesIVorDV” with other responses answered affirmatively</w:t>
      </w:r>
    </w:p>
    <w:p>
      <w:pPr>
        <w:pStyle w:val="Normal"/>
        <w:numPr>
          <w:ilvl w:val="2"/>
          <w:numId w:val="1"/>
        </w:numPr>
        <w:rPr/>
      </w:pPr>
      <w:r>
        <w:rPr>
          <w:rFonts w:ascii="Times New Roman" w:hAnsi="Times New Roman"/>
        </w:rPr>
        <w:t>“</w:t>
      </w:r>
      <w:r>
        <w:rPr>
          <w:rFonts w:ascii="Times New Roman" w:hAnsi="Times New Roman"/>
        </w:rPr>
        <w:t>IV” for “studiesMainEffect”</w:t>
      </w:r>
    </w:p>
    <w:p>
      <w:pPr>
        <w:pStyle w:val="Normal"/>
        <w:numPr>
          <w:ilvl w:val="2"/>
          <w:numId w:val="1"/>
        </w:numPr>
        <w:rPr/>
      </w:pPr>
      <w:r>
        <w:rPr>
          <w:rFonts w:ascii="Times New Roman" w:hAnsi="Times New Roman"/>
        </w:rPr>
        <w:t>“</w:t>
      </w:r>
      <w:r>
        <w:rPr>
          <w:rFonts w:ascii="Times New Roman" w:hAnsi="Times New Roman"/>
        </w:rPr>
        <w:t>IV” for “sesMainInterest”</w:t>
      </w:r>
    </w:p>
    <w:p>
      <w:pPr>
        <w:pStyle w:val="Normal"/>
        <w:numPr>
          <w:ilvl w:val="2"/>
          <w:numId w:val="1"/>
        </w:numPr>
        <w:rPr/>
      </w:pPr>
      <w:r>
        <w:rPr>
          <w:rFonts w:ascii="Times New Roman" w:hAnsi="Times New Roman"/>
        </w:rPr>
        <w:t>Listed an operationalization of SES as a definition of SES</w:t>
      </w:r>
    </w:p>
    <w:p>
      <w:pPr>
        <w:pStyle w:val="Normal"/>
        <w:numPr>
          <w:ilvl w:val="2"/>
          <w:numId w:val="1"/>
        </w:numPr>
        <w:rPr/>
      </w:pPr>
      <w:r>
        <w:rPr>
          <w:rFonts w:ascii="Times New Roman" w:hAnsi="Times New Roman"/>
        </w:rPr>
        <w:t>Answered affirmatively for multiple variables but left “SESDef” blank</w:t>
      </w:r>
    </w:p>
    <w:p>
      <w:pPr>
        <w:pStyle w:val="Normal"/>
        <w:numPr>
          <w:ilvl w:val="1"/>
          <w:numId w:val="1"/>
        </w:numPr>
        <w:rPr>
          <w:rFonts w:ascii="Times New Roman" w:hAnsi="Times New Roman"/>
        </w:rPr>
      </w:pPr>
      <w:r>
        <w:rPr>
          <w:rFonts w:ascii="Times New Roman" w:hAnsi="Times New Roman"/>
        </w:rPr>
        <w:t>Changes:</w:t>
      </w:r>
    </w:p>
    <w:p>
      <w:pPr>
        <w:pStyle w:val="Normal"/>
        <w:numPr>
          <w:ilvl w:val="2"/>
          <w:numId w:val="1"/>
        </w:numPr>
        <w:rPr/>
      </w:pPr>
      <w:r>
        <w:rPr>
          <w:rFonts w:ascii="Times New Roman" w:hAnsi="Times New Roman"/>
        </w:rPr>
        <w:t>Highlighted entire row in Yellow 2</w:t>
      </w:r>
    </w:p>
    <w:p>
      <w:pPr>
        <w:pStyle w:val="Normal"/>
        <w:numPr>
          <w:ilvl w:val="0"/>
          <w:numId w:val="1"/>
        </w:numPr>
        <w:rPr/>
      </w:pPr>
      <w:r>
        <w:rPr>
          <w:rFonts w:ascii="Times New Roman" w:hAnsi="Times New Roman"/>
        </w:rPr>
        <w:t>Clean codes for “SESDef”</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slightly different capitalization (e.g., “yes” vs. “Yes”)</w:t>
      </w:r>
    </w:p>
    <w:p>
      <w:pPr>
        <w:pStyle w:val="Normal"/>
        <w:numPr>
          <w:ilvl w:val="2"/>
          <w:numId w:val="1"/>
        </w:numPr>
        <w:rPr/>
      </w:pPr>
      <w:r>
        <w:rPr>
          <w:rFonts w:ascii="Times New Roman" w:hAnsi="Times New Roman"/>
        </w:rPr>
        <w:t>Some answered “None given” for papers that did not examine SES</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Changed all versions of “none given” to “None given”</w:t>
      </w:r>
    </w:p>
    <w:p>
      <w:pPr>
        <w:pStyle w:val="Normal"/>
        <w:numPr>
          <w:ilvl w:val="2"/>
          <w:numId w:val="1"/>
        </w:numPr>
        <w:rPr/>
      </w:pPr>
      <w:r>
        <w:rPr>
          <w:rFonts w:ascii="Times New Roman" w:hAnsi="Times New Roman"/>
        </w:rPr>
        <w:t>For papers that did not examine SES (see “sesIVorDV”), removed any codes given (e.g., from “none given” to “”).</w:t>
      </w:r>
    </w:p>
    <w:p>
      <w:pPr>
        <w:pStyle w:val="Normal"/>
        <w:numPr>
          <w:ilvl w:val="0"/>
          <w:numId w:val="1"/>
        </w:numPr>
        <w:rPr/>
      </w:pPr>
      <w:r>
        <w:rPr>
          <w:rFonts w:ascii="Times New Roman" w:hAnsi="Times New Roman"/>
        </w:rPr>
        <w:t>Clean codes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bookmarkStart w:id="1" w:name="__DdeLink__108_1124321960"/>
      <w:bookmarkEnd w:id="1"/>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Clean codes for reasons for study operationalization columns</w:t>
      </w:r>
    </w:p>
    <w:p>
      <w:pPr>
        <w:pStyle w:val="Normal"/>
        <w:numPr>
          <w:ilvl w:val="1"/>
          <w:numId w:val="1"/>
        </w:numPr>
        <w:rPr/>
      </w:pPr>
      <w:r>
        <w:rPr>
          <w:rFonts w:ascii="Times New Roman" w:hAnsi="Times New Roman"/>
        </w:rPr>
        <w:t>Why: RA’s used slightly different versions of codes for this section</w:t>
      </w:r>
    </w:p>
    <w:p>
      <w:pPr>
        <w:pStyle w:val="Normal"/>
        <w:numPr>
          <w:ilvl w:val="1"/>
          <w:numId w:val="1"/>
        </w:numPr>
        <w:rPr/>
      </w:pPr>
      <w:r>
        <w:rPr>
          <w:rFonts w:ascii="Times New Roman" w:hAnsi="Times New Roman"/>
        </w:rPr>
        <w:t>Original:</w:t>
      </w:r>
    </w:p>
    <w:p>
      <w:pPr>
        <w:pStyle w:val="Normal"/>
        <w:numPr>
          <w:ilvl w:val="2"/>
          <w:numId w:val="1"/>
        </w:numPr>
        <w:rPr/>
      </w:pPr>
      <w:r>
        <w:rPr>
          <w:rFonts w:ascii="Times New Roman" w:hAnsi="Times New Roman"/>
        </w:rPr>
        <w:t>RA’s used different codes to indicate that SES wasn’t studied in particular study (e.g., “n/a”, “not studied”, “none given”)</w:t>
      </w:r>
    </w:p>
    <w:p>
      <w:pPr>
        <w:pStyle w:val="Normal"/>
        <w:numPr>
          <w:ilvl w:val="2"/>
          <w:numId w:val="1"/>
        </w:numPr>
        <w:rPr/>
      </w:pPr>
      <w:r>
        <w:rPr>
          <w:rFonts w:ascii="Times New Roman" w:hAnsi="Times New Roman"/>
        </w:rPr>
        <w:t>RA’s put “none given” for papers that didn’t study SES (see “sesIVorDV”)</w:t>
      </w:r>
    </w:p>
    <w:p>
      <w:pPr>
        <w:pStyle w:val="Normal"/>
        <w:numPr>
          <w:ilvl w:val="1"/>
          <w:numId w:val="1"/>
        </w:numPr>
        <w:rPr/>
      </w:pPr>
      <w:r>
        <w:rPr>
          <w:rFonts w:ascii="Times New Roman" w:hAnsi="Times New Roman"/>
        </w:rPr>
        <w:t>Changes:</w:t>
      </w:r>
    </w:p>
    <w:p>
      <w:pPr>
        <w:pStyle w:val="Normal"/>
        <w:numPr>
          <w:ilvl w:val="2"/>
          <w:numId w:val="1"/>
        </w:numPr>
        <w:rPr/>
      </w:pPr>
      <w:r>
        <w:rPr>
          <w:rFonts w:ascii="Times New Roman" w:hAnsi="Times New Roman"/>
        </w:rPr>
        <w:t>For particular studies that didn’t examine SES, but the overall paper did, changed whichever code was given to “Did not study SES”</w:t>
      </w:r>
    </w:p>
    <w:p>
      <w:pPr>
        <w:pStyle w:val="Normal"/>
        <w:numPr>
          <w:ilvl w:val="2"/>
          <w:numId w:val="1"/>
        </w:numPr>
        <w:rPr/>
      </w:pPr>
      <w:r>
        <w:rPr>
          <w:rFonts w:ascii="Times New Roman" w:hAnsi="Times New Roman"/>
        </w:rPr>
        <w:t>For papers that did not study SES (see “sesIVorDV”), removed any codes given (e.g., from “none given” to “”).</w:t>
      </w:r>
    </w:p>
    <w:p>
      <w:pPr>
        <w:pStyle w:val="Normal"/>
        <w:numPr>
          <w:ilvl w:val="0"/>
          <w:numId w:val="1"/>
        </w:numPr>
        <w:rPr/>
      </w:pPr>
      <w:r>
        <w:rPr>
          <w:rFonts w:ascii="Times New Roman" w:hAnsi="Times New Roman"/>
        </w:rPr>
        <w:t>Overlapping papers with no issues to resolve:</w:t>
      </w:r>
    </w:p>
    <w:p>
      <w:pPr>
        <w:pStyle w:val="Normal"/>
        <w:numPr>
          <w:ilvl w:val="1"/>
          <w:numId w:val="1"/>
        </w:numPr>
        <w:rPr/>
      </w:pPr>
      <w:r>
        <w:rPr>
          <w:rFonts w:ascii="Times New Roman" w:hAnsi="Times New Roman"/>
        </w:rPr>
        <w:t>Use rules:</w:t>
      </w:r>
    </w:p>
    <w:p>
      <w:pPr>
        <w:pStyle w:val="Normal"/>
        <w:numPr>
          <w:ilvl w:val="2"/>
          <w:numId w:val="1"/>
        </w:numPr>
        <w:rPr/>
      </w:pPr>
      <w:r>
        <w:rPr>
          <w:rFonts w:ascii="Times New Roman" w:hAnsi="Times New Roman"/>
        </w:rPr>
        <w:t>Row to use highlighted in Green 2</w:t>
      </w:r>
    </w:p>
    <w:p>
      <w:pPr>
        <w:pStyle w:val="Normal"/>
        <w:numPr>
          <w:ilvl w:val="2"/>
          <w:numId w:val="1"/>
        </w:numPr>
        <w:rPr/>
      </w:pPr>
      <w:r>
        <w:rPr>
          <w:rFonts w:ascii="Times New Roman" w:hAnsi="Times New Roman"/>
        </w:rPr>
        <w:t>Row(s) not to use highlighted in Yellow 2</w:t>
      </w:r>
    </w:p>
    <w:p>
      <w:pPr>
        <w:pStyle w:val="Normal"/>
        <w:numPr>
          <w:ilvl w:val="1"/>
          <w:numId w:val="1"/>
        </w:numPr>
        <w:rPr/>
      </w:pPr>
      <w:r>
        <w:rPr>
          <w:rFonts w:ascii="Times New Roman" w:hAnsi="Times New Roman"/>
        </w:rPr>
        <w:t>Papers:</w:t>
      </w:r>
    </w:p>
    <w:p>
      <w:pPr>
        <w:pStyle w:val="Normal"/>
        <w:numPr>
          <w:ilvl w:val="2"/>
          <w:numId w:val="1"/>
        </w:numPr>
        <w:rPr/>
      </w:pPr>
      <w:r>
        <w:rPr>
          <w:rFonts w:ascii="Times New Roman" w:hAnsi="Times New Roman"/>
        </w:rPr>
        <w:t>Hudson, 2005</w:t>
      </w:r>
    </w:p>
    <w:p>
      <w:pPr>
        <w:pStyle w:val="Normal"/>
        <w:numPr>
          <w:ilvl w:val="2"/>
          <w:numId w:val="1"/>
        </w:numPr>
        <w:rPr/>
      </w:pPr>
      <w:r>
        <w:rPr>
          <w:rFonts w:ascii="Times New Roman" w:hAnsi="Times New Roman"/>
        </w:rPr>
        <w:t>Bigler et al., 2003</w:t>
      </w:r>
    </w:p>
    <w:p>
      <w:pPr>
        <w:pStyle w:val="Normal"/>
        <w:numPr>
          <w:ilvl w:val="2"/>
          <w:numId w:val="1"/>
        </w:numPr>
        <w:rPr/>
      </w:pPr>
      <w:r>
        <w:rPr>
          <w:rFonts w:ascii="Times New Roman" w:hAnsi="Times New Roman"/>
        </w:rPr>
        <w:t>Appleton et al., 2012</w:t>
      </w:r>
    </w:p>
    <w:p>
      <w:pPr>
        <w:pStyle w:val="Normal"/>
        <w:numPr>
          <w:ilvl w:val="2"/>
          <w:numId w:val="1"/>
        </w:numPr>
        <w:rPr/>
      </w:pPr>
      <w:r>
        <w:rPr>
          <w:rFonts w:ascii="Times New Roman" w:hAnsi="Times New Roman"/>
        </w:rPr>
        <w:t>Dinescu et al., 2016</w:t>
      </w:r>
    </w:p>
    <w:p>
      <w:pPr>
        <w:pStyle w:val="Normal"/>
        <w:numPr>
          <w:ilvl w:val="2"/>
          <w:numId w:val="1"/>
        </w:numPr>
        <w:rPr/>
      </w:pPr>
      <w:r>
        <w:rPr>
          <w:rFonts w:ascii="Times New Roman" w:hAnsi="Times New Roman"/>
        </w:rPr>
        <w:t>Kraus et al., 2013 (added “none given for objective indicators” to reason)</w:t>
      </w:r>
    </w:p>
    <w:p>
      <w:pPr>
        <w:pStyle w:val="Normal"/>
        <w:numPr>
          <w:ilvl w:val="2"/>
          <w:numId w:val="1"/>
        </w:numPr>
        <w:rPr/>
      </w:pPr>
      <w:r>
        <w:rPr>
          <w:rFonts w:ascii="Times New Roman" w:hAnsi="Times New Roman"/>
        </w:rPr>
        <w:t>Bollen &amp; Bauldry, 2011</w:t>
      </w:r>
    </w:p>
    <w:p>
      <w:pPr>
        <w:pStyle w:val="Normal"/>
        <w:numPr>
          <w:ilvl w:val="2"/>
          <w:numId w:val="1"/>
        </w:numPr>
        <w:rPr/>
      </w:pPr>
      <w:r>
        <w:rPr>
          <w:rFonts w:ascii="Times New Roman" w:hAnsi="Times New Roman"/>
        </w:rPr>
        <w:t>Belmi et al., 2019</w:t>
      </w:r>
    </w:p>
    <w:p>
      <w:pPr>
        <w:pStyle w:val="Normal"/>
        <w:numPr>
          <w:ilvl w:val="2"/>
          <w:numId w:val="1"/>
        </w:numPr>
        <w:rPr/>
      </w:pPr>
      <w:r>
        <w:rPr>
          <w:rFonts w:ascii="Times New Roman" w:hAnsi="Times New Roman"/>
        </w:rPr>
        <w:t>Brandt, 2013</w:t>
      </w:r>
    </w:p>
    <w:p>
      <w:pPr>
        <w:pStyle w:val="Normal"/>
        <w:numPr>
          <w:ilvl w:val="2"/>
          <w:numId w:val="1"/>
        </w:numPr>
        <w:rPr/>
      </w:pPr>
      <w:r>
        <w:rPr>
          <w:rFonts w:ascii="Times New Roman" w:hAnsi="Times New Roman"/>
        </w:rPr>
        <w:t>Davis &amp; Humphrey, 2014</w:t>
      </w:r>
    </w:p>
    <w:p>
      <w:pPr>
        <w:pStyle w:val="Normal"/>
        <w:numPr>
          <w:ilvl w:val="2"/>
          <w:numId w:val="1"/>
        </w:numPr>
        <w:rPr/>
      </w:pPr>
      <w:r>
        <w:rPr>
          <w:rFonts w:ascii="Times New Roman" w:hAnsi="Times New Roman"/>
        </w:rPr>
        <w:t>Evans et al., 2019</w:t>
      </w:r>
    </w:p>
    <w:p>
      <w:pPr>
        <w:pStyle w:val="Normal"/>
        <w:numPr>
          <w:ilvl w:val="2"/>
          <w:numId w:val="1"/>
        </w:numPr>
        <w:rPr/>
      </w:pPr>
      <w:r>
        <w:rPr>
          <w:rFonts w:ascii="Times New Roman" w:hAnsi="Times New Roman"/>
        </w:rPr>
        <w:t>Hittner et al., 2018</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Hrgović &amp; Hromatko, 2019</w:t>
      </w:r>
    </w:p>
    <w:p>
      <w:pPr>
        <w:pStyle w:val="Normal"/>
        <w:numPr>
          <w:ilvl w:val="2"/>
          <w:numId w:val="1"/>
        </w:numPr>
        <w:rPr/>
      </w:pPr>
      <w:r>
        <w:rPr>
          <w:rFonts w:ascii="Times New Roman" w:hAnsi="Times New Roman"/>
          <w:b w:val="false"/>
          <w:i w:val="false"/>
          <w:strike w:val="false"/>
          <w:dstrike w:val="false"/>
          <w:outline w:val="false"/>
          <w:shadow w:val="false"/>
          <w:color w:val="000000"/>
          <w:sz w:val="24"/>
          <w:szCs w:val="24"/>
          <w:u w:val="none"/>
          <w:em w:val="none"/>
        </w:rPr>
        <w:t>Piff et al., 2010</w:t>
      </w:r>
    </w:p>
    <w:p>
      <w:pPr>
        <w:pStyle w:val="Normal"/>
        <w:numPr>
          <w:ilvl w:val="0"/>
          <w:numId w:val="1"/>
        </w:numPr>
        <w:rPr/>
      </w:pPr>
      <w:r>
        <w:rPr>
          <w:rFonts w:ascii="Times New Roman" w:hAnsi="Times New Roman"/>
        </w:rPr>
        <w:t>Overlapping papers with issues to resolve:</w:t>
      </w:r>
    </w:p>
    <w:p>
      <w:pPr>
        <w:pStyle w:val="Normal"/>
        <w:numPr>
          <w:ilvl w:val="1"/>
          <w:numId w:val="1"/>
        </w:numPr>
        <w:rPr/>
      </w:pPr>
      <w:r>
        <w:rPr>
          <w:rFonts w:ascii="Times New Roman" w:hAnsi="Times New Roman"/>
        </w:rPr>
        <w:t>Cronk et al., 2004</w:t>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SES as a DV</w:t>
      </w:r>
    </w:p>
    <w:p>
      <w:pPr>
        <w:pStyle w:val="Normal"/>
        <w:numPr>
          <w:ilvl w:val="3"/>
          <w:numId w:val="1"/>
        </w:numPr>
        <w:rPr/>
      </w:pPr>
      <w:r>
        <w:rPr>
          <w:rFonts w:ascii="Times New Roman" w:hAnsi="Times New Roman"/>
        </w:rPr>
        <w:t>1 RA used the operationalization quote as the definition quote</w:t>
      </w:r>
    </w:p>
    <w:p>
      <w:pPr>
        <w:pStyle w:val="Normal"/>
        <w:numPr>
          <w:ilvl w:val="3"/>
          <w:numId w:val="1"/>
        </w:numPr>
        <w:rPr/>
      </w:pPr>
      <w:r>
        <w:rPr>
          <w:rFonts w:ascii="Times New Roman" w:hAnsi="Times New Roman"/>
        </w:rPr>
        <w:t>Total # Issues = 2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1 RA got all codes correct (row highlighted in Green 2); using that RA’s row for analysis</w:t>
      </w:r>
    </w:p>
    <w:p>
      <w:pPr>
        <w:pStyle w:val="Normal"/>
        <w:numPr>
          <w:ilvl w:val="3"/>
          <w:numId w:val="1"/>
        </w:numPr>
        <w:rPr/>
      </w:pPr>
      <w:r>
        <w:rPr>
          <w:rFonts w:ascii="Times New Roman" w:hAnsi="Times New Roman"/>
        </w:rPr>
        <w:t>Rows with issues marked in Yellow 2</w:t>
      </w:r>
    </w:p>
    <w:p>
      <w:pPr>
        <w:pStyle w:val="Normal"/>
        <w:numPr>
          <w:ilvl w:val="1"/>
          <w:numId w:val="1"/>
        </w:numPr>
        <w:rPr/>
      </w:pPr>
      <w:r>
        <w:rPr>
          <w:rFonts w:ascii="Times New Roman" w:hAnsi="Times New Roman"/>
        </w:rPr>
        <w:t>Falconnier &amp; Elkin, 2008</w:t>
        <w:tab/>
      </w:r>
    </w:p>
    <w:p>
      <w:pPr>
        <w:pStyle w:val="Normal"/>
        <w:numPr>
          <w:ilvl w:val="2"/>
          <w:numId w:val="1"/>
        </w:numPr>
        <w:rPr/>
      </w:pPr>
      <w:r>
        <w:rPr>
          <w:rFonts w:ascii="Times New Roman" w:hAnsi="Times New Roman"/>
        </w:rPr>
        <w:t>Issues:</w:t>
      </w:r>
    </w:p>
    <w:p>
      <w:pPr>
        <w:pStyle w:val="Normal"/>
        <w:numPr>
          <w:ilvl w:val="3"/>
          <w:numId w:val="1"/>
        </w:numPr>
        <w:rPr/>
      </w:pPr>
      <w:r>
        <w:rPr>
          <w:rFonts w:ascii="Times New Roman" w:hAnsi="Times New Roman"/>
        </w:rPr>
        <w:t>1 RA marked Yes for “studiesMainEffect”; other didn’t</w:t>
      </w:r>
    </w:p>
    <w:p>
      <w:pPr>
        <w:pStyle w:val="Normal"/>
        <w:numPr>
          <w:ilvl w:val="3"/>
          <w:numId w:val="1"/>
        </w:numPr>
        <w:rPr/>
      </w:pPr>
      <w:r>
        <w:rPr>
          <w:rFonts w:ascii="Times New Roman" w:hAnsi="Times New Roman"/>
        </w:rPr>
        <w:t>Total # Issues = 1 (out of 6 codes total)</w:t>
      </w:r>
    </w:p>
    <w:p>
      <w:pPr>
        <w:pStyle w:val="Normal"/>
        <w:numPr>
          <w:ilvl w:val="2"/>
          <w:numId w:val="1"/>
        </w:numPr>
        <w:rPr/>
      </w:pPr>
      <w:r>
        <w:rPr>
          <w:rFonts w:ascii="Times New Roman" w:hAnsi="Times New Roman"/>
        </w:rPr>
        <w:t>Resolution:</w:t>
      </w:r>
    </w:p>
    <w:p>
      <w:pPr>
        <w:pStyle w:val="Normal"/>
        <w:numPr>
          <w:ilvl w:val="3"/>
          <w:numId w:val="1"/>
        </w:numPr>
        <w:rPr/>
      </w:pPr>
      <w:r>
        <w:rPr>
          <w:rFonts w:ascii="Times New Roman" w:hAnsi="Times New Roman"/>
        </w:rPr>
        <w:t>SES was a moderator, and therefore not a main effect</w:t>
      </w:r>
      <w:r>
        <w:rPr>
          <w:rFonts w:ascii="Times New Roman" w:hAnsi="Times New Roman"/>
          <w:sz w:val="24"/>
          <w:szCs w:val="24"/>
        </w:rPr>
        <w:t>: “Hypotheses regarding the moderating effect of SES on the rela-tionships between the three approach variables and outcome andattrition were also tested.” (p. 38)</w:t>
      </w:r>
    </w:p>
    <w:p>
      <w:pPr>
        <w:pStyle w:val="Normal"/>
        <w:numPr>
          <w:ilvl w:val="3"/>
          <w:numId w:val="1"/>
        </w:numPr>
        <w:rPr/>
      </w:pPr>
      <w:r>
        <w:rPr>
          <w:rFonts w:ascii="Times New Roman" w:hAnsi="Times New Roman"/>
          <w:sz w:val="24"/>
          <w:szCs w:val="24"/>
        </w:rPr>
        <w:t>Using row of RA that got all correct (highlighted in Green 2)</w:t>
      </w:r>
    </w:p>
    <w:p>
      <w:pPr>
        <w:pStyle w:val="Normal"/>
        <w:numPr>
          <w:ilvl w:val="3"/>
          <w:numId w:val="1"/>
        </w:numPr>
        <w:rPr/>
      </w:pPr>
      <w:r>
        <w:rPr>
          <w:rFonts w:ascii="Times New Roman" w:hAnsi="Times New Roman"/>
          <w:sz w:val="24"/>
          <w:szCs w:val="24"/>
        </w:rPr>
        <w:t>Row with issue marked in Yellow 2</w:t>
      </w:r>
    </w:p>
    <w:p>
      <w:pPr>
        <w:pStyle w:val="Normal"/>
        <w:numPr>
          <w:ilvl w:val="1"/>
          <w:numId w:val="1"/>
        </w:numPr>
        <w:rPr/>
      </w:pPr>
      <w:r>
        <w:rPr>
          <w:rFonts w:ascii="Times New Roman" w:hAnsi="Times New Roman"/>
          <w:sz w:val="24"/>
          <w:szCs w:val="24"/>
        </w:rPr>
        <w:t>Rajendran et al.,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“Yes” for “studiesMainEffect”</w:t>
      </w:r>
    </w:p>
    <w:p>
      <w:pPr>
        <w:pStyle w:val="Normal"/>
        <w:numPr>
          <w:ilvl w:val="3"/>
          <w:numId w:val="1"/>
        </w:numPr>
        <w:rPr/>
      </w:pPr>
      <w:r>
        <w:rPr>
          <w:rFonts w:ascii="Times New Roman" w:hAnsi="Times New Roman"/>
          <w:sz w:val="24"/>
          <w:szCs w:val="24"/>
        </w:rPr>
        <w:t>Total # Issues = 1 (out of 6 codes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Used 1 of 2 rows with all correct answers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Corso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did not answer “S1_reason”</w:t>
      </w:r>
    </w:p>
    <w:p>
      <w:pPr>
        <w:pStyle w:val="Normal"/>
        <w:numPr>
          <w:ilvl w:val="3"/>
          <w:numId w:val="1"/>
        </w:numPr>
        <w:rPr/>
      </w:pPr>
      <w:r>
        <w:rPr>
          <w:rFonts w:ascii="Times New Roman" w:hAnsi="Times New Roman"/>
          <w:sz w:val="24"/>
          <w:szCs w:val="24"/>
        </w:rPr>
        <w:t>1 RA put “None given” for “sesDef”</w:t>
      </w:r>
    </w:p>
    <w:p>
      <w:pPr>
        <w:pStyle w:val="Normal"/>
        <w:numPr>
          <w:ilvl w:val="3"/>
          <w:numId w:val="1"/>
        </w:numPr>
        <w:rPr/>
      </w:pPr>
      <w:r>
        <w:rPr>
          <w:rFonts w:ascii="Times New Roman" w:hAnsi="Times New Roman"/>
          <w:sz w:val="24"/>
          <w:szCs w:val="24"/>
        </w:rPr>
        <w:t>Total # Issues = 2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1 RA got all correct; using that row (marked in Green 2)</w:t>
      </w:r>
    </w:p>
    <w:p>
      <w:pPr>
        <w:pStyle w:val="Normal"/>
        <w:numPr>
          <w:ilvl w:val="3"/>
          <w:numId w:val="1"/>
        </w:numPr>
        <w:rPr/>
      </w:pPr>
      <w:r>
        <w:rPr>
          <w:rFonts w:ascii="Times New Roman" w:hAnsi="Times New Roman"/>
          <w:sz w:val="24"/>
          <w:szCs w:val="24"/>
        </w:rPr>
        <w:t>Other rows marked in Yellow 2</w:t>
      </w:r>
    </w:p>
    <w:p>
      <w:pPr>
        <w:pStyle w:val="Normal"/>
        <w:numPr>
          <w:ilvl w:val="1"/>
          <w:numId w:val="1"/>
        </w:numPr>
        <w:rPr/>
      </w:pPr>
      <w:r>
        <w:rPr>
          <w:rFonts w:ascii="Times New Roman" w:hAnsi="Times New Roman"/>
          <w:sz w:val="24"/>
          <w:szCs w:val="24"/>
        </w:rPr>
        <w:t>Obradovic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completely opposite answers for “sesIVorDV”, “studiesMainEffect”, and “sesMainInterest”</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RA who put “IV”, “Yes”, “Yes” for “sesIVorDV”, “studiesMainEffect”, and “sesMainInterest” was correct so using that row (highlighted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Bijttebier &amp; Goethals,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“IV” for “sesIVorDV” and “None given” for all quotes; other RA’s put “Did not study SES”</w:t>
      </w:r>
    </w:p>
    <w:p>
      <w:pPr>
        <w:pStyle w:val="Normal"/>
        <w:numPr>
          <w:ilvl w:val="3"/>
          <w:numId w:val="1"/>
        </w:numPr>
        <w:rPr/>
      </w:pPr>
      <w:r>
        <w:rPr>
          <w:rFonts w:ascii="Times New Roman" w:hAnsi="Times New Roman"/>
          <w:sz w:val="24"/>
          <w:szCs w:val="24"/>
        </w:rPr>
        <w:t>Total # Issues = n/a (looks like erring RA used idiosyncratic marker for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changed off row to “Did not study SES” with rest of entries deleted</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Pinderhughes et al., 2000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put “No” for “studiesMainEffect” and “sesMainInterest”</w:t>
      </w:r>
    </w:p>
    <w:p>
      <w:pPr>
        <w:pStyle w:val="Normal"/>
        <w:numPr>
          <w:ilvl w:val="3"/>
          <w:numId w:val="1"/>
        </w:numPr>
        <w:rPr/>
      </w:pPr>
      <w:r>
        <w:rPr>
          <w:rFonts w:ascii="Times New Roman" w:hAnsi="Times New Roman"/>
          <w:sz w:val="24"/>
          <w:szCs w:val="24"/>
        </w:rPr>
        <w:t>1 RA put “None given” for “S1_reason”</w:t>
      </w:r>
    </w:p>
    <w:p>
      <w:pPr>
        <w:pStyle w:val="Normal"/>
        <w:numPr>
          <w:ilvl w:val="3"/>
          <w:numId w:val="1"/>
        </w:numPr>
        <w:rPr/>
      </w:pPr>
      <w:r>
        <w:rPr>
          <w:rFonts w:ascii="Times New Roman" w:hAnsi="Times New Roman"/>
          <w:sz w:val="24"/>
          <w:szCs w:val="24"/>
        </w:rPr>
        <w:t>Total # Issues = 3 (out of 6 total codes)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Row with “None given” for “S1_reason” had all correct answers; using and marked in Green 2</w:t>
      </w:r>
    </w:p>
    <w:p>
      <w:pPr>
        <w:pStyle w:val="Normal"/>
        <w:numPr>
          <w:ilvl w:val="3"/>
          <w:numId w:val="1"/>
        </w:numPr>
        <w:rPr/>
      </w:pPr>
      <w:r>
        <w:rPr>
          <w:rFonts w:ascii="Times New Roman" w:hAnsi="Times New Roman"/>
          <w:sz w:val="24"/>
          <w:szCs w:val="24"/>
        </w:rPr>
        <w:t>Other row marked in Yellow 2</w:t>
      </w:r>
    </w:p>
    <w:p>
      <w:pPr>
        <w:pStyle w:val="Normal"/>
        <w:numPr>
          <w:ilvl w:val="1"/>
          <w:numId w:val="1"/>
        </w:numPr>
        <w:rPr/>
      </w:pPr>
      <w:r>
        <w:rPr>
          <w:rFonts w:ascii="Times New Roman" w:hAnsi="Times New Roman"/>
          <w:sz w:val="24"/>
          <w:szCs w:val="24"/>
        </w:rPr>
        <w:t>Tsethlikai,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Slightly incomplete operationalization and reason, but overall,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For used row, added “</w:t>
      </w:r>
      <w:r>
        <w:rPr>
          <w:rFonts w:ascii="Times New Roman" w:hAnsi="Times New Roman"/>
          <w:b w:val="false"/>
          <w:i w:val="false"/>
          <w:strike w:val="false"/>
          <w:dstrike w:val="false"/>
          <w:outline w:val="false"/>
          <w:shadow w:val="false"/>
          <w:sz w:val="24"/>
          <w:szCs w:val="24"/>
          <w:u w:val="none"/>
          <w:em w:val="none"/>
        </w:rPr>
        <w:t>additionally, used partial least squares to composite income and education as weighted indicators of SES—kind of a formative approach, a non-causal indicator approach (p. 196–197, 199)” to operationalization and added “none given for indicators” to reason</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Capaldi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missed reason for composite variable; other included composite only in reason; one got all correct</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Resolutions:</w:t>
      </w:r>
    </w:p>
    <w:p>
      <w:pPr>
        <w:pStyle w:val="Normal"/>
        <w:numPr>
          <w:ilvl w:val="3"/>
          <w:numId w:val="1"/>
        </w:numPr>
        <w:rPr/>
      </w:pPr>
      <w:r>
        <w:rPr>
          <w:rFonts w:ascii="Times New Roman" w:hAnsi="Times New Roman"/>
          <w:sz w:val="24"/>
          <w:szCs w:val="24"/>
        </w:rPr>
        <w:t>Using the one that had everything in exact place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Shaked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1 RA gave quote for reason where none should have been given</w:t>
      </w:r>
    </w:p>
    <w:p>
      <w:pPr>
        <w:pStyle w:val="Normal"/>
        <w:numPr>
          <w:ilvl w:val="3"/>
          <w:numId w:val="1"/>
        </w:numPr>
        <w:rPr/>
      </w:pPr>
      <w:r>
        <w:rPr>
          <w:rFonts w:ascii="Times New Roman" w:hAnsi="Times New Roman"/>
          <w:sz w:val="24"/>
          <w:szCs w:val="24"/>
        </w:rPr>
        <w:t>1 RA gave “No” for “studiedMainEffect” and “sesMainInterest” when both should have been “Yes”</w:t>
      </w:r>
    </w:p>
    <w:p>
      <w:pPr>
        <w:pStyle w:val="Normal"/>
        <w:numPr>
          <w:ilvl w:val="3"/>
          <w:numId w:val="1"/>
        </w:numPr>
        <w:rPr/>
      </w:pPr>
      <w:r>
        <w:rPr>
          <w:rFonts w:ascii="Times New Roman" w:hAnsi="Times New Roman"/>
          <w:sz w:val="24"/>
          <w:szCs w:val="24"/>
        </w:rPr>
        <w:t>Total # Issues = 3 (out of 6 total)</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row from RA who got all codes correct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Bjornsdottir &amp; Rule,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agreed on paper qualities codes, but did not answer quotes</w:t>
      </w:r>
    </w:p>
    <w:p>
      <w:pPr>
        <w:pStyle w:val="Normal"/>
        <w:numPr>
          <w:ilvl w:val="3"/>
          <w:numId w:val="1"/>
        </w:numPr>
        <w:rPr/>
      </w:pPr>
      <w:r>
        <w:rPr>
          <w:rFonts w:ascii="Times New Roman" w:hAnsi="Times New Roman"/>
          <w:sz w:val="24"/>
          <w:szCs w:val="24"/>
        </w:rPr>
        <w:t>This is my fault: Told RA’s not to code quotes for papers where SES=DV</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I coded the article</w:t>
      </w:r>
    </w:p>
    <w:p>
      <w:pPr>
        <w:pStyle w:val="Normal"/>
        <w:numPr>
          <w:ilvl w:val="3"/>
          <w:numId w:val="1"/>
        </w:numPr>
        <w:rPr/>
      </w:pPr>
      <w:r>
        <w:rPr>
          <w:rFonts w:ascii="Times New Roman" w:hAnsi="Times New Roman"/>
          <w:sz w:val="24"/>
          <w:szCs w:val="24"/>
        </w:rPr>
        <w:t>Used row in Green 2; unused rows in Yellow 2</w:t>
      </w:r>
    </w:p>
    <w:p>
      <w:pPr>
        <w:pStyle w:val="Normal"/>
        <w:numPr>
          <w:ilvl w:val="1"/>
          <w:numId w:val="1"/>
        </w:numPr>
        <w:rPr/>
      </w:pPr>
      <w:r>
        <w:rPr>
          <w:rFonts w:ascii="Times New Roman" w:hAnsi="Times New Roman"/>
          <w:sz w:val="24"/>
          <w:szCs w:val="24"/>
        </w:rPr>
        <w:t>Bjorsndottir &amp; Rule,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Rows from 2 RA’s were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rows in Yellow 2</w:t>
      </w:r>
    </w:p>
    <w:p>
      <w:pPr>
        <w:pStyle w:val="Normal"/>
        <w:numPr>
          <w:ilvl w:val="1"/>
          <w:numId w:val="1"/>
        </w:numPr>
        <w:rPr/>
      </w:pPr>
      <w:r>
        <w:rPr>
          <w:rFonts w:ascii="Times New Roman" w:hAnsi="Times New Roman"/>
          <w:sz w:val="24"/>
          <w:szCs w:val="24"/>
        </w:rPr>
        <w:t>Greitemeyer &amp; Saglioglou,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w:t>
      </w:r>
    </w:p>
    <w:p>
      <w:pPr>
        <w:pStyle w:val="Normal"/>
        <w:numPr>
          <w:ilvl w:val="3"/>
          <w:numId w:val="1"/>
        </w:numPr>
        <w:rPr/>
      </w:pPr>
      <w:r>
        <w:rPr>
          <w:rFonts w:ascii="Times New Roman" w:hAnsi="Times New Roman"/>
          <w:sz w:val="24"/>
          <w:szCs w:val="24"/>
        </w:rPr>
        <w:t>From used row, “S4_reason” describes why research was done, rather than why the particular operationalization was used</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Upon reviewing Study 4, following reason for operationalization was found, which is now used: “Study 3 showed that low subjective SES causally increasesaggression. Although the manipulation suggests that we success-fully induced differences in the experience of social status, somereaders may be concerned that our manipulation in Study 3 primesmaterialistic desires or aspirations. Hence, in Study 4, we em-ployed a different approach to manipulate subjective SES. Con-cretely, we adapted a procedure byCallan, Shead, and Olson(2011)(see alsoBrown-Iannuzzi, Lundberg, Kay, &amp; Payne, 2015;Callan, Ellard, Shead, &amp; Hodgins, 2008). After answering a seriesof questions, participants were randomly assigned to either learnthat they have a higher SES than similar others, an SES in theaverage range of the socioeconomic status of similar others, or alower SES than similar others.” (p. 185)</w:t>
      </w:r>
    </w:p>
    <w:p>
      <w:pPr>
        <w:pStyle w:val="Normal"/>
        <w:numPr>
          <w:ilvl w:val="1"/>
          <w:numId w:val="1"/>
        </w:numPr>
        <w:rPr/>
      </w:pPr>
      <w:r>
        <w:rPr>
          <w:rFonts w:ascii="Times New Roman" w:hAnsi="Times New Roman"/>
          <w:sz w:val="24"/>
          <w:szCs w:val="24"/>
        </w:rPr>
        <w:t>Greitemeyer &amp; Saglioglou,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Row from 1 RA was accidentally copied over due to including articles based on author-name-matching, rather than author-name-year-matching (+ RA had started but not finished coding the article)</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Using the row from the RA to whom article was assigned (in Green 2)</w:t>
      </w:r>
    </w:p>
    <w:p>
      <w:pPr>
        <w:pStyle w:val="Normal"/>
        <w:numPr>
          <w:ilvl w:val="3"/>
          <w:numId w:val="1"/>
        </w:numPr>
        <w:rPr/>
      </w:pPr>
      <w:r>
        <w:rPr>
          <w:rFonts w:ascii="Times New Roman" w:hAnsi="Times New Roman"/>
          <w:sz w:val="24"/>
          <w:szCs w:val="24"/>
        </w:rPr>
        <w:t>Unused row in Yellow 2</w:t>
      </w:r>
    </w:p>
    <w:p>
      <w:pPr>
        <w:pStyle w:val="Normal"/>
        <w:numPr>
          <w:ilvl w:val="1"/>
          <w:numId w:val="1"/>
        </w:numPr>
        <w:rPr/>
      </w:pPr>
      <w:r>
        <w:rPr>
          <w:rFonts w:ascii="Times New Roman" w:hAnsi="Times New Roman"/>
          <w:sz w:val="24"/>
          <w:szCs w:val="24"/>
        </w:rPr>
        <w:t>Jenkins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RA’s disagree about “sesMainInterest”</w:t>
      </w:r>
    </w:p>
    <w:p>
      <w:pPr>
        <w:pStyle w:val="Normal"/>
        <w:numPr>
          <w:ilvl w:val="3"/>
          <w:numId w:val="1"/>
        </w:numPr>
        <w:rPr/>
      </w:pPr>
      <w:r>
        <w:rPr>
          <w:rFonts w:ascii="Times New Roman" w:hAnsi="Times New Roman"/>
          <w:sz w:val="24"/>
          <w:szCs w:val="24"/>
        </w:rPr>
        <w:t>RA’s used completely different quotes for operationalization and reason</w:t>
      </w:r>
    </w:p>
    <w:p>
      <w:pPr>
        <w:pStyle w:val="Normal"/>
        <w:numPr>
          <w:ilvl w:val="3"/>
          <w:numId w:val="1"/>
        </w:numPr>
        <w:rPr/>
      </w:pPr>
      <w:r>
        <w:rPr>
          <w:rFonts w:ascii="Times New Roman" w:hAnsi="Times New Roman"/>
          <w:sz w:val="24"/>
          <w:szCs w:val="24"/>
        </w:rPr>
        <w:t>Total # Issues = 3 (out of 6 codes total)</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One of RA’s coded incorrect article (e.g., had quotes from “p. 545” when the article goes from only p. 99–113)</w:t>
      </w:r>
    </w:p>
    <w:p>
      <w:pPr>
        <w:pStyle w:val="Normal"/>
        <w:numPr>
          <w:ilvl w:val="3"/>
          <w:numId w:val="1"/>
        </w:numPr>
        <w:rPr/>
      </w:pPr>
      <w:r>
        <w:rPr>
          <w:rFonts w:ascii="Times New Roman" w:hAnsi="Times New Roman"/>
          <w:sz w:val="24"/>
          <w:szCs w:val="24"/>
        </w:rPr>
        <w:t>Using row of RA who coded the paper (in Green 2)</w:t>
      </w:r>
    </w:p>
    <w:p>
      <w:pPr>
        <w:pStyle w:val="Normal"/>
        <w:numPr>
          <w:ilvl w:val="3"/>
          <w:numId w:val="1"/>
        </w:numPr>
        <w:rPr/>
      </w:pPr>
      <w:r>
        <w:rPr>
          <w:rFonts w:ascii="Times New Roman" w:hAnsi="Times New Roman"/>
          <w:sz w:val="24"/>
          <w:szCs w:val="24"/>
        </w:rPr>
        <w:t>Unused row in Yellow 2</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0"/>
          <w:numId w:val="1"/>
        </w:numPr>
        <w:rPr/>
      </w:pPr>
      <w:r>
        <w:rPr>
          <w:rFonts w:ascii="Times New Roman" w:hAnsi="Times New Roman"/>
          <w:sz w:val="24"/>
          <w:szCs w:val="24"/>
        </w:rPr>
        <w:t>Non-overlapping papers with issues to resolve:</w:t>
      </w:r>
    </w:p>
    <w:p>
      <w:pPr>
        <w:pStyle w:val="Normal"/>
        <w:numPr>
          <w:ilvl w:val="1"/>
          <w:numId w:val="1"/>
        </w:numPr>
        <w:rPr/>
      </w:pPr>
      <w:r>
        <w:rPr>
          <w:rFonts w:ascii="Times New Roman" w:hAnsi="Times New Roman"/>
          <w:sz w:val="24"/>
          <w:szCs w:val="24"/>
        </w:rPr>
        <w:t>Stattin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“IV” for “sesIVorDV” and “None given” for all quotes on definition and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did not study SES. Current codes removed and “sesIVorDV” replaced with “Did not study SES”</w:t>
      </w:r>
    </w:p>
    <w:p>
      <w:pPr>
        <w:pStyle w:val="Normal"/>
        <w:numPr>
          <w:ilvl w:val="3"/>
          <w:numId w:val="1"/>
        </w:numPr>
        <w:rPr/>
      </w:pPr>
      <w:r>
        <w:rPr>
          <w:rFonts w:ascii="Times New Roman" w:hAnsi="Times New Roman"/>
          <w:sz w:val="24"/>
          <w:szCs w:val="24"/>
        </w:rPr>
        <w:t>Row highlighting changed to Orange 2</w:t>
      </w:r>
    </w:p>
    <w:p>
      <w:pPr>
        <w:pStyle w:val="Normal"/>
        <w:numPr>
          <w:ilvl w:val="1"/>
          <w:numId w:val="1"/>
        </w:numPr>
        <w:rPr/>
      </w:pPr>
      <w:r>
        <w:rPr>
          <w:rFonts w:ascii="Times New Roman" w:hAnsi="Times New Roman"/>
          <w:sz w:val="24"/>
          <w:szCs w:val="24"/>
        </w:rPr>
        <w:t>Demir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marked “No” for “sesIVorDV” but included quote for operationalization of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Paper examined SES as a key counter-explanation for their focal explanation (“Here, we ask whether children’s early home environments varyin the opportunities they provide for children to hear decontextu-alized language and, if so, whether variation in parental decontex-tualized language input predicts children’s vocabulary, syntax, ornarrative skills at school entry, even when controlling for parentalcontextualized language input, demographic factors, and childpreschool language skill.” p. 161)</w:t>
      </w:r>
    </w:p>
    <w:p>
      <w:pPr>
        <w:pStyle w:val="Normal"/>
        <w:numPr>
          <w:ilvl w:val="3"/>
          <w:numId w:val="1"/>
        </w:numPr>
        <w:rPr/>
      </w:pPr>
      <w:r>
        <w:rPr>
          <w:rFonts w:ascii="Times New Roman" w:hAnsi="Times New Roman"/>
          <w:sz w:val="24"/>
          <w:szCs w:val="24"/>
        </w:rPr>
        <w:t>Thus, changed code to “</w:t>
      </w:r>
      <w:r>
        <w:rPr>
          <w:rFonts w:ascii="Times New Roman" w:hAnsi="Times New Roman"/>
          <w:sz w:val="24"/>
          <w:szCs w:val="24"/>
        </w:rPr>
        <w:t>IV</w:t>
      </w:r>
      <w:r>
        <w:rPr>
          <w:rFonts w:ascii="Times New Roman" w:hAnsi="Times New Roman"/>
          <w:sz w:val="24"/>
          <w:szCs w:val="24"/>
        </w:rPr>
        <w:t>, No, Yes, None Given, ‘For the two samples taken together, parent educationand income were combined in a composite score of SES. Thecomposite was generated using principal components analysis. Thefirst principal component weighted education and income posi-tively and equally and accounted for 81% of the original variance.’ p. 164, None Given”</w:t>
      </w:r>
    </w:p>
    <w:p>
      <w:pPr>
        <w:pStyle w:val="Normal"/>
        <w:numPr>
          <w:ilvl w:val="3"/>
          <w:numId w:val="1"/>
        </w:numPr>
        <w:rPr/>
      </w:pPr>
      <w:r>
        <w:rPr>
          <w:rFonts w:ascii="Times New Roman" w:hAnsi="Times New Roman"/>
          <w:sz w:val="24"/>
          <w:szCs w:val="24"/>
        </w:rPr>
        <w:t>Changed highlight to Orange 2</w:t>
      </w:r>
    </w:p>
    <w:p>
      <w:pPr>
        <w:pStyle w:val="Normal"/>
        <w:numPr>
          <w:ilvl w:val="1"/>
          <w:numId w:val="1"/>
        </w:numPr>
        <w:rPr/>
      </w:pPr>
      <w:r>
        <w:rPr>
          <w:rFonts w:ascii="Times New Roman" w:hAnsi="Times New Roman"/>
          <w:sz w:val="24"/>
          <w:szCs w:val="24"/>
        </w:rPr>
        <w:t>Raffington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codes per my comments; paper did not study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“Did not study SES”; deleted remaining answers</w:t>
      </w:r>
    </w:p>
    <w:p>
      <w:pPr>
        <w:pStyle w:val="Normal"/>
        <w:numPr>
          <w:ilvl w:val="3"/>
          <w:numId w:val="1"/>
        </w:numPr>
        <w:rPr/>
      </w:pPr>
      <w:r>
        <w:rPr>
          <w:rFonts w:ascii="Times New Roman" w:hAnsi="Times New Roman"/>
          <w:sz w:val="24"/>
          <w:szCs w:val="24"/>
        </w:rPr>
        <w:t>Highlighted in Orange 2</w:t>
      </w:r>
    </w:p>
    <w:p>
      <w:pPr>
        <w:pStyle w:val="Normal"/>
        <w:numPr>
          <w:ilvl w:val="1"/>
          <w:numId w:val="1"/>
        </w:numPr>
        <w:rPr/>
      </w:pPr>
      <w:r>
        <w:rPr>
          <w:rFonts w:ascii="Times New Roman" w:hAnsi="Times New Roman"/>
          <w:sz w:val="24"/>
          <w:szCs w:val="24"/>
        </w:rPr>
        <w:t>Schulting et al., 2005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is marked “Did not study SES” but operationalization has a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 for SES was used as both a control variable and a moderator: “Hierarchical linear modelingrevealed that the number of school-based transition practices in the fall of kindergarten was associatedwith more positive academic achievement scores at the end of kindergarten, even controlling for familysocioeconomic status (SES) and other demographic factors. This effect was stronger for low- andmiddle-SES children than high-SES children.” (p. 860)</w:t>
      </w:r>
    </w:p>
    <w:p>
      <w:pPr>
        <w:pStyle w:val="Normal"/>
        <w:numPr>
          <w:ilvl w:val="3"/>
          <w:numId w:val="1"/>
        </w:numPr>
        <w:rPr/>
      </w:pPr>
      <w:r>
        <w:rPr>
          <w:rFonts w:ascii="Times New Roman" w:hAnsi="Times New Roman"/>
          <w:sz w:val="24"/>
          <w:szCs w:val="24"/>
        </w:rPr>
        <w:t>Highlighting to Orange 2</w:t>
      </w:r>
    </w:p>
    <w:p>
      <w:pPr>
        <w:pStyle w:val="Normal"/>
        <w:numPr>
          <w:ilvl w:val="1"/>
          <w:numId w:val="1"/>
        </w:numPr>
        <w:rPr/>
      </w:pPr>
      <w:r>
        <w:rPr>
          <w:rFonts w:ascii="Times New Roman" w:hAnsi="Times New Roman"/>
          <w:sz w:val="24"/>
          <w:szCs w:val="24"/>
        </w:rPr>
        <w:t>van Schaik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 (RA didn’t follow my comments to update to “IV”</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Corley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SES used as key control variable, so “sesIVorDV” changed to “IV” and “sesMainInterest” changed to “Yes”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Huijbregts et al.,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No” for “sesIVorDV” when quote given for operationalization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Simons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Indicated SES studied in paper but no quote for operationalization</w:t>
      </w:r>
    </w:p>
    <w:p>
      <w:pPr>
        <w:pStyle w:val="Normal"/>
        <w:numPr>
          <w:ilvl w:val="3"/>
          <w:numId w:val="1"/>
        </w:numPr>
        <w:rPr/>
      </w:pPr>
      <w:r>
        <w:rPr>
          <w:rFonts w:ascii="Times New Roman" w:hAnsi="Times New Roman"/>
          <w:sz w:val="24"/>
          <w:szCs w:val="24"/>
        </w:rPr>
        <w:t>Gave a reason not related to studying or operationalizing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Entry was incomplete for quotes but correct for paper characteristics. Added missing quotes</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Preacher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sesIVorDV” marked “DV”, but no quotes given for definition and operationalization of SES</w:t>
      </w:r>
    </w:p>
    <w:p>
      <w:pPr>
        <w:pStyle w:val="Normal"/>
        <w:numPr>
          <w:ilvl w:val="3"/>
          <w:numId w:val="1"/>
        </w:numPr>
        <w:rPr/>
      </w:pPr>
      <w:r>
        <w:rPr>
          <w:rFonts w:ascii="Times New Roman" w:hAnsi="Times New Roman"/>
          <w:sz w:val="24"/>
          <w:szCs w:val="24"/>
        </w:rPr>
        <w:t>Total # Issues = n/a</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b w:val="false"/>
          <w:i w:val="false"/>
          <w:strike w:val="false"/>
          <w:dstrike w:val="false"/>
          <w:outline w:val="false"/>
          <w:shadow w:val="false"/>
          <w:color w:val="000000"/>
          <w:sz w:val="24"/>
          <w:szCs w:val="24"/>
          <w:u w:val="none"/>
          <w:em w:val="none"/>
        </w:rPr>
        <w:t>Paper reviews method for MSEM. Example involves examining how SES relation to math scored moderated by school size. Paper did not report details of how any data were collected, processed, etc. Codes given reflect the particular example, rather than the overall paper.</w:t>
      </w:r>
    </w:p>
    <w:p>
      <w:pPr>
        <w:pStyle w:val="Normal"/>
        <w:numPr>
          <w:ilvl w:val="3"/>
          <w:numId w:val="1"/>
        </w:numPr>
        <w:rPr>
          <w:rFonts w:ascii="Times New Roman" w:hAnsi="Times New Roman"/>
          <w:sz w:val="24"/>
          <w:szCs w:val="24"/>
        </w:rPr>
      </w:pPr>
      <w:r>
        <w:rPr>
          <w:rFonts w:ascii="Times New Roman" w:hAnsi="Times New Roman"/>
          <w:sz w:val="24"/>
          <w:szCs w:val="24"/>
        </w:rPr>
        <w:t>Thus, “sesIVorDV” changed to “IV” and “sesMainInterest” changed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Thielemann et al.,,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as “IV” but no quotes given for operationalization or definition</w:t>
      </w:r>
    </w:p>
    <w:p>
      <w:pPr>
        <w:pStyle w:val="Normal"/>
        <w:numPr>
          <w:ilvl w:val="3"/>
          <w:numId w:val="1"/>
        </w:numPr>
        <w:rPr>
          <w:rFonts w:ascii="Times New Roman" w:hAnsi="Times New Roman"/>
          <w:sz w:val="24"/>
          <w:szCs w:val="24"/>
        </w:rPr>
      </w:pPr>
      <w:r>
        <w:rPr>
          <w:rFonts w:ascii="Times New Roman" w:hAnsi="Times New Roman"/>
          <w:sz w:val="24"/>
          <w:szCs w:val="24"/>
        </w:rPr>
        <w:t>Generally, RA didn’t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Updated per comments</w:t>
      </w:r>
    </w:p>
    <w:p>
      <w:pPr>
        <w:pStyle w:val="Normal"/>
        <w:numPr>
          <w:ilvl w:val="3"/>
          <w:numId w:val="1"/>
        </w:numPr>
        <w:rPr>
          <w:rFonts w:ascii="Times New Roman" w:hAnsi="Times New Roman"/>
          <w:sz w:val="24"/>
          <w:szCs w:val="24"/>
        </w:rPr>
      </w:pPr>
      <w:r>
        <w:rPr>
          <w:rFonts w:ascii="Times New Roman" w:hAnsi="Times New Roman"/>
          <w:sz w:val="24"/>
          <w:szCs w:val="24"/>
        </w:rPr>
        <w:t>Changed “sesMainInterest” to “Yes” to reflect particular example, rather than overall paper</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Adams et al., 2000</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quote for “S1_reason” but none for definition or operationalization</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S1_reason” quote is not a reason for the operationalization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Paper did not study SES</w:t>
      </w:r>
    </w:p>
    <w:p>
      <w:pPr>
        <w:pStyle w:val="Normal"/>
        <w:numPr>
          <w:ilvl w:val="3"/>
          <w:numId w:val="1"/>
        </w:numPr>
        <w:rPr>
          <w:rFonts w:ascii="Times New Roman" w:hAnsi="Times New Roman"/>
          <w:sz w:val="24"/>
          <w:szCs w:val="24"/>
        </w:rPr>
      </w:pPr>
      <w:r>
        <w:rPr>
          <w:rFonts w:ascii="Times New Roman" w:hAnsi="Times New Roman"/>
          <w:sz w:val="24"/>
          <w:szCs w:val="24"/>
        </w:rPr>
        <w:t>All codes deleted and “sesIVorDV” changed to “Did not study SES”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Espinoza &amp; Willis-Esqueda, 2015</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RA marked “IV” for all paper codes</w:t>
      </w:r>
    </w:p>
    <w:p>
      <w:pPr>
        <w:pStyle w:val="Normal"/>
        <w:numPr>
          <w:ilvl w:val="3"/>
          <w:numId w:val="1"/>
        </w:numPr>
        <w:rPr>
          <w:rFonts w:ascii="Times New Roman" w:hAnsi="Times New Roman"/>
          <w:sz w:val="24"/>
          <w:szCs w:val="24"/>
        </w:rPr>
      </w:pPr>
      <w:r>
        <w:rPr>
          <w:rFonts w:ascii="Times New Roman" w:hAnsi="Times New Roman"/>
          <w:sz w:val="24"/>
          <w:szCs w:val="24"/>
        </w:rPr>
        <w:t>Total # Issues = 2 (out of 6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Changed “studiesMainEffect” and “sesMainInterest” to “Yes”</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Schredl, 2013</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I mistakenly flagged paper because I thought “sesIVorDV” was answered affirmatively while no quotes were given, but quotes were given</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Speed &amp; Fowler, 2017</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sesIVorDV” marked “IV”, but no quotes given</w:t>
      </w:r>
    </w:p>
    <w:p>
      <w:pPr>
        <w:pStyle w:val="Normal"/>
        <w:numPr>
          <w:ilvl w:val="3"/>
          <w:numId w:val="1"/>
        </w:numPr>
        <w:rPr>
          <w:rFonts w:ascii="Times New Roman" w:hAnsi="Times New Roman"/>
          <w:sz w:val="24"/>
          <w:szCs w:val="24"/>
        </w:rPr>
      </w:pPr>
      <w:r>
        <w:rPr>
          <w:rFonts w:ascii="Times New Roman" w:hAnsi="Times New Roman"/>
          <w:sz w:val="24"/>
          <w:szCs w:val="24"/>
        </w:rPr>
        <w:t>RA did not update per my comments</w:t>
      </w:r>
    </w:p>
    <w:p>
      <w:pPr>
        <w:pStyle w:val="Normal"/>
        <w:numPr>
          <w:ilvl w:val="3"/>
          <w:numId w:val="1"/>
        </w:numPr>
        <w:rPr>
          <w:rFonts w:ascii="Times New Roman" w:hAnsi="Times New Roman"/>
          <w:sz w:val="24"/>
          <w:szCs w:val="24"/>
        </w:rPr>
      </w:pPr>
      <w:r>
        <w:rPr>
          <w:rFonts w:ascii="Times New Roman" w:hAnsi="Times New Roman"/>
          <w:sz w:val="24"/>
          <w:szCs w:val="24"/>
        </w:rPr>
        <w:t>Total # Issues = n/a</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quotes for operationalization and reason</w:t>
      </w:r>
    </w:p>
    <w:p>
      <w:pPr>
        <w:pStyle w:val="Normal"/>
        <w:numPr>
          <w:ilvl w:val="3"/>
          <w:numId w:val="1"/>
        </w:numPr>
        <w:rPr>
          <w:rFonts w:ascii="Times New Roman" w:hAnsi="Times New Roman"/>
          <w:sz w:val="24"/>
          <w:szCs w:val="24"/>
        </w:rPr>
      </w:pPr>
      <w:r>
        <w:rPr>
          <w:rFonts w:ascii="Times New Roman" w:hAnsi="Times New Roman"/>
          <w:sz w:val="24"/>
          <w:szCs w:val="24"/>
        </w:rPr>
        <w:t>Highlighting in Orange 2</w:t>
      </w:r>
    </w:p>
    <w:p>
      <w:pPr>
        <w:pStyle w:val="Normal"/>
        <w:numPr>
          <w:ilvl w:val="1"/>
          <w:numId w:val="1"/>
        </w:numPr>
        <w:rPr>
          <w:rFonts w:ascii="Times New Roman" w:hAnsi="Times New Roman"/>
          <w:sz w:val="24"/>
          <w:szCs w:val="24"/>
        </w:rPr>
      </w:pPr>
      <w:r>
        <w:rPr>
          <w:rFonts w:ascii="Times New Roman" w:hAnsi="Times New Roman"/>
          <w:sz w:val="24"/>
          <w:szCs w:val="24"/>
        </w:rPr>
        <w:t>Townsend et al., 2012</w:t>
      </w:r>
    </w:p>
    <w:p>
      <w:pPr>
        <w:pStyle w:val="Normal"/>
        <w:numPr>
          <w:ilvl w:val="2"/>
          <w:numId w:val="1"/>
        </w:numPr>
        <w:rPr>
          <w:rFonts w:ascii="Times New Roman" w:hAnsi="Times New Roman"/>
          <w:sz w:val="24"/>
          <w:szCs w:val="24"/>
        </w:rPr>
      </w:pPr>
      <w:r>
        <w:rPr>
          <w:rFonts w:ascii="Times New Roman" w:hAnsi="Times New Roman"/>
          <w:sz w:val="24"/>
          <w:szCs w:val="24"/>
        </w:rPr>
        <w:t>Issues:</w:t>
      </w:r>
    </w:p>
    <w:p>
      <w:pPr>
        <w:pStyle w:val="Normal"/>
        <w:numPr>
          <w:ilvl w:val="3"/>
          <w:numId w:val="1"/>
        </w:numPr>
        <w:rPr>
          <w:rFonts w:ascii="Times New Roman" w:hAnsi="Times New Roman"/>
          <w:sz w:val="24"/>
          <w:szCs w:val="24"/>
        </w:rPr>
      </w:pPr>
      <w:r>
        <w:rPr>
          <w:rFonts w:ascii="Times New Roman" w:hAnsi="Times New Roman"/>
          <w:sz w:val="24"/>
          <w:szCs w:val="24"/>
        </w:rPr>
        <w:t>Filled out some parts of codes, but not for Study 1 or “sesDef”</w:t>
      </w:r>
    </w:p>
    <w:p>
      <w:pPr>
        <w:pStyle w:val="Normal"/>
        <w:numPr>
          <w:ilvl w:val="3"/>
          <w:numId w:val="1"/>
        </w:numPr>
        <w:rPr>
          <w:rFonts w:ascii="Times New Roman" w:hAnsi="Times New Roman"/>
          <w:sz w:val="24"/>
          <w:szCs w:val="24"/>
        </w:rPr>
      </w:pPr>
      <w:r>
        <w:rPr>
          <w:rFonts w:ascii="Times New Roman" w:hAnsi="Times New Roman"/>
          <w:sz w:val="24"/>
          <w:szCs w:val="24"/>
        </w:rPr>
        <w:t>Quote for “S2_reason” was not quite correct</w:t>
      </w:r>
    </w:p>
    <w:p>
      <w:pPr>
        <w:pStyle w:val="Normal"/>
        <w:numPr>
          <w:ilvl w:val="3"/>
          <w:numId w:val="1"/>
        </w:numPr>
        <w:rPr>
          <w:rFonts w:ascii="Times New Roman" w:hAnsi="Times New Roman"/>
          <w:sz w:val="24"/>
          <w:szCs w:val="24"/>
        </w:rPr>
      </w:pPr>
      <w:r>
        <w:rPr>
          <w:rFonts w:ascii="Times New Roman" w:hAnsi="Times New Roman"/>
          <w:sz w:val="24"/>
          <w:szCs w:val="24"/>
        </w:rPr>
        <w:t>Total # Issues = 3 (out of 9 codes total)</w:t>
      </w:r>
    </w:p>
    <w:p>
      <w:pPr>
        <w:pStyle w:val="Normal"/>
        <w:numPr>
          <w:ilvl w:val="2"/>
          <w:numId w:val="1"/>
        </w:numPr>
        <w:rPr>
          <w:rFonts w:ascii="Times New Roman" w:hAnsi="Times New Roman"/>
          <w:sz w:val="24"/>
          <w:szCs w:val="24"/>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Completed “sesDef” and SE</w:t>
      </w:r>
    </w:p>
    <w:p>
      <w:pPr>
        <w:pStyle w:val="Normal"/>
        <w:numPr>
          <w:ilvl w:val="3"/>
          <w:numId w:val="1"/>
        </w:numPr>
        <w:rPr>
          <w:rFonts w:ascii="Times New Roman" w:hAnsi="Times New Roman"/>
          <w:sz w:val="24"/>
          <w:szCs w:val="24"/>
        </w:rPr>
      </w:pPr>
      <w:r>
        <w:rPr>
          <w:rFonts w:ascii="Times New Roman" w:hAnsi="Times New Roman"/>
          <w:sz w:val="24"/>
          <w:szCs w:val="24"/>
        </w:rPr>
        <w:t>Corrected “S2_reason” (copied quote from “S2_operationalization”, which contained reason for operationalization)</w:t>
      </w:r>
    </w:p>
    <w:p>
      <w:pPr>
        <w:pStyle w:val="Normal"/>
        <w:numPr>
          <w:ilvl w:val="3"/>
          <w:numId w:val="1"/>
        </w:numPr>
        <w:rPr/>
      </w:pPr>
      <w:r>
        <w:rPr>
          <w:rFonts w:ascii="Times New Roman" w:hAnsi="Times New Roman"/>
          <w:sz w:val="24"/>
          <w:szCs w:val="24"/>
        </w:rPr>
        <w:t>Highlighting in Orange 2</w:t>
      </w:r>
    </w:p>
    <w:p>
      <w:pPr>
        <w:pStyle w:val="Normal"/>
        <w:numPr>
          <w:ilvl w:val="1"/>
          <w:numId w:val="1"/>
        </w:numPr>
        <w:rPr/>
      </w:pPr>
      <w:r>
        <w:rPr>
          <w:rFonts w:ascii="Times New Roman" w:hAnsi="Times New Roman"/>
          <w:sz w:val="24"/>
          <w:szCs w:val="24"/>
        </w:rPr>
        <w:t>Hill &amp; Herman-Stahl,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During coding, discovered paper used SES as a control variable</w:t>
      </w:r>
    </w:p>
    <w:p>
      <w:pPr>
        <w:pStyle w:val="Normal"/>
        <w:numPr>
          <w:ilvl w:val="3"/>
          <w:numId w:val="1"/>
        </w:numPr>
        <w:rPr/>
      </w:pPr>
      <w:r>
        <w:rPr>
          <w:rFonts w:ascii="Times New Roman" w:hAnsi="Times New Roman"/>
          <w:sz w:val="24"/>
          <w:szCs w:val="24"/>
        </w:rPr>
        <w:t>Reason for operationalization quote described why SES was controlled for rather than why the indicators of SES were chosen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Recoded “sesMainEffect” to “No”</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Gard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given in operationalization quote not given in reason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2" w:name="__DdeLink__9209_101083012"/>
      <w:bookmarkEnd w:id="2"/>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Bayissa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to “Did not study SES”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Deleted all codes and made “sesIVorDV” “Did not study SES”</w:t>
      </w:r>
    </w:p>
    <w:p>
      <w:pPr>
        <w:pStyle w:val="Normal"/>
        <w:numPr>
          <w:ilvl w:val="1"/>
          <w:numId w:val="1"/>
        </w:numPr>
        <w:rPr/>
      </w:pPr>
      <w:r>
        <w:rPr>
          <w:rFonts w:ascii="Times New Roman" w:hAnsi="Times New Roman"/>
          <w:sz w:val="24"/>
          <w:szCs w:val="24"/>
        </w:rPr>
        <w:t>Carlson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sz w:val="24"/>
          <w:szCs w:val="24"/>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Garner,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1"/>
          <w:numId w:val="1"/>
        </w:numPr>
        <w:rPr/>
      </w:pPr>
      <w:r>
        <w:rPr>
          <w:rFonts w:ascii="Times New Roman" w:hAnsi="Times New Roman"/>
          <w:sz w:val="24"/>
          <w:szCs w:val="24"/>
        </w:rPr>
        <w:t>Navarro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w:t>
      </w:r>
    </w:p>
    <w:p>
      <w:pPr>
        <w:pStyle w:val="Normal"/>
        <w:numPr>
          <w:ilvl w:val="3"/>
          <w:numId w:val="1"/>
        </w:numPr>
        <w:rPr/>
      </w:pPr>
      <w:r>
        <w:rPr>
          <w:rFonts w:ascii="Times New Roman" w:hAnsi="Times New Roman"/>
          <w:sz w:val="24"/>
          <w:szCs w:val="24"/>
        </w:rPr>
        <w:t>RA did not update “sesMainEffect”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w:t>
      </w:r>
    </w:p>
    <w:p>
      <w:pPr>
        <w:pStyle w:val="Normal"/>
        <w:numPr>
          <w:ilvl w:val="3"/>
          <w:numId w:val="1"/>
        </w:numPr>
        <w:rPr/>
      </w:pPr>
      <w:r>
        <w:rPr>
          <w:rFonts w:ascii="Times New Roman" w:hAnsi="Times New Roman"/>
          <w:sz w:val="24"/>
          <w:szCs w:val="24"/>
        </w:rPr>
        <w:t>Changed “sesMainEffect” to “Yes”</w:t>
      </w:r>
    </w:p>
    <w:p>
      <w:pPr>
        <w:pStyle w:val="Normal"/>
        <w:numPr>
          <w:ilvl w:val="1"/>
          <w:numId w:val="1"/>
        </w:numPr>
        <w:rPr/>
      </w:pPr>
      <w:r>
        <w:rPr>
          <w:rFonts w:ascii="Times New Roman" w:hAnsi="Times New Roman"/>
          <w:sz w:val="24"/>
          <w:szCs w:val="24"/>
        </w:rPr>
        <w:t>Newcomb et al.,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did not update “sesMainEffect” and “sesMainInterest” per my comments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“sesMainEffect” and “sesMainInterest” to “Yes”</w:t>
      </w:r>
    </w:p>
    <w:p>
      <w:pPr>
        <w:pStyle w:val="Normal"/>
        <w:numPr>
          <w:ilvl w:val="1"/>
          <w:numId w:val="1"/>
        </w:numPr>
        <w:rPr/>
      </w:pPr>
      <w:r>
        <w:rPr>
          <w:rFonts w:ascii="Times New Roman" w:hAnsi="Times New Roman"/>
          <w:sz w:val="24"/>
          <w:szCs w:val="24"/>
        </w:rPr>
        <w:t>Stellar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in operationalization quote was not in reason quote (which was “None given”) (for both S2 and S3)</w:t>
      </w:r>
    </w:p>
    <w:p>
      <w:pPr>
        <w:pStyle w:val="Normal"/>
        <w:numPr>
          <w:ilvl w:val="3"/>
          <w:numId w:val="1"/>
        </w:numPr>
        <w:rPr/>
      </w:pPr>
      <w:r>
        <w:rPr>
          <w:rFonts w:ascii="Times New Roman" w:hAnsi="Times New Roman"/>
          <w:sz w:val="24"/>
          <w:szCs w:val="24"/>
        </w:rPr>
        <w:t>Given reason quote was not a reason for the operationalization (for both S2 and S3)</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Copied operationalization quote into reason cell (for both S2 and S3)</w:t>
      </w:r>
    </w:p>
    <w:p>
      <w:pPr>
        <w:pStyle w:val="Normal"/>
        <w:numPr>
          <w:ilvl w:val="3"/>
          <w:numId w:val="1"/>
        </w:numPr>
        <w:rPr/>
      </w:pPr>
      <w:r>
        <w:rPr>
          <w:rFonts w:ascii="Times New Roman" w:hAnsi="Times New Roman"/>
          <w:sz w:val="24"/>
          <w:szCs w:val="24"/>
        </w:rPr>
        <w:t>Deleted old reason quote (for both S2 and S3)</w:t>
      </w:r>
    </w:p>
    <w:p>
      <w:pPr>
        <w:pStyle w:val="Normal"/>
        <w:numPr>
          <w:ilvl w:val="1"/>
          <w:numId w:val="1"/>
        </w:numPr>
        <w:rPr/>
      </w:pPr>
      <w:r>
        <w:rPr>
          <w:rFonts w:ascii="Times New Roman" w:hAnsi="Times New Roman"/>
          <w:sz w:val="24"/>
          <w:szCs w:val="24"/>
        </w:rPr>
        <w:t>Anton et al.,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Yu &amp; Seligman, 2002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Betts et al., 2008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del Río et al., 2018</w:t>
        <w:tab/>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Dulay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bookmarkStart w:id="3" w:name="__DdeLink__547_3944096625"/>
      <w:bookmarkEnd w:id="3"/>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McCoach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Obradovic et al., 2016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Poehlmann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“On the basis of previousresearch with children with a multiple risk model (e.g., Burchinal,Roberts, Hooper, &amp; Zeisel, 2000), one point was given for each ofthe following risks: family income was below federal povertyguidelines adjusted for family size, both parents were unemployed,the mother was single, the mother gave birth to the target child asa teen, the family had four or more dependent children, the motherdid not complete high school, and the father did not complete highschool. This index could range from 0 to 7, with higher scoresreflecting more SES risks. Cronbach’s alpha was .75. Family SES risks at all other time points were highly correlated with NICU SES risks; we used the NICU SES risk index to minimize missing data” (p. 97)</w:t>
      </w:r>
    </w:p>
    <w:p>
      <w:pPr>
        <w:pStyle w:val="Normal"/>
        <w:numPr>
          <w:ilvl w:val="1"/>
          <w:numId w:val="1"/>
        </w:numPr>
        <w:rPr/>
      </w:pPr>
      <w:r>
        <w:rPr>
          <w:rFonts w:ascii="Times New Roman" w:hAnsi="Times New Roman"/>
          <w:sz w:val="24"/>
          <w:szCs w:val="24"/>
        </w:rPr>
        <w:t>Roberts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“A student- or family-level measureof SES is provided in the ECLS data set, which is a composite offive variables reflecting family income and prestige of parents’occupation, each of which was standardized with a mean of 0 anda standard deviation of 1. The measure is treated as continuous andranges from – 4.75 to 2.75. The percentage of students who qual-ified for free or reduced lunch in the fall of 1999 was used as anindicator of schoolwide SES” (p. 672)</w:t>
      </w:r>
    </w:p>
    <w:p>
      <w:pPr>
        <w:pStyle w:val="Normal"/>
        <w:numPr>
          <w:ilvl w:val="1"/>
          <w:numId w:val="1"/>
        </w:numPr>
        <w:rPr/>
      </w:pPr>
      <w:r>
        <w:rPr>
          <w:rFonts w:ascii="Times New Roman" w:hAnsi="Times New Roman"/>
          <w:sz w:val="24"/>
          <w:szCs w:val="24"/>
        </w:rPr>
        <w:t>Andorko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“SES variables wereselected based on their relative stability overtime and specific relation to health disparityintervention research (Shavers, 2007).” (p. 3)</w:t>
      </w:r>
    </w:p>
    <w:p>
      <w:pPr>
        <w:pStyle w:val="Normal"/>
        <w:numPr>
          <w:ilvl w:val="1"/>
          <w:numId w:val="1"/>
        </w:numPr>
        <w:rPr/>
      </w:pPr>
      <w:r>
        <w:rPr>
          <w:rFonts w:ascii="Times New Roman" w:hAnsi="Times New Roman"/>
          <w:sz w:val="24"/>
          <w:szCs w:val="24"/>
        </w:rPr>
        <w:t>Barbarin &amp; Aikens,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Dicke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Reasons for operationalization quote described general modeling for testing all hypotheses, rather than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 xml:space="preserve">Reviewing supplementary materials and discovered SES measure was composite provided in the ECLS dataset, and changed to “Dataset provided_None given”: “socioeconomic status – which was created based on the following components reported by the participant’s parents (guardians): father/male guardian’s education; mother/female guardian’s education; father/male guardian’s occupation; mother/female guardian’s occupation; and household income ( see </w:t>
      </w:r>
      <w:r>
        <w:rPr>
          <w:rFonts w:cs="Times New Roman" w:ascii="Times New Roman" w:hAnsi="Times New Roman"/>
          <w:sz w:val="24"/>
          <w:szCs w:val="24"/>
          <w:lang w:eastAsia="de-DE"/>
        </w:rPr>
        <w:t>Tourangeau et al., 2009</w:t>
      </w:r>
      <w:r>
        <w:rPr>
          <w:rFonts w:ascii="Times New Roman" w:hAnsi="Times New Roman"/>
          <w:sz w:val="24"/>
          <w:szCs w:val="24"/>
        </w:rPr>
        <w:t xml:space="preserve"> for details)….</w:t>
      </w:r>
      <w:r>
        <w:rPr>
          <w:rFonts w:eastAsia="Times New Roman" w:cs="Times New Roman" w:ascii="Times New Roman" w:hAnsi="Times New Roman"/>
          <w:sz w:val="24"/>
          <w:szCs w:val="24"/>
        </w:rPr>
        <w:t xml:space="preserve">Tourangeau, K., Nord, C., Lê, T., Sorongon, A. G., and Najarian, M. (2009). </w:t>
      </w:r>
      <w:r>
        <w:rPr>
          <w:rFonts w:eastAsia="Times New Roman" w:cs="Times New Roman" w:ascii="Times New Roman" w:hAnsi="Times New Roman"/>
          <w:i/>
          <w:sz w:val="24"/>
          <w:szCs w:val="24"/>
        </w:rPr>
        <w:t xml:space="preserve">Early Childhood Longitudinal Study, Kindergarten Class of 1998–99 (ECLS-K), Combined User’s Manual for the ECLS-K Eighth-Grade and K–8 Full Sample Data Files and Electronic Codebooks (NCES 2009–004). </w:t>
      </w:r>
      <w:r>
        <w:rPr>
          <w:rFonts w:eastAsia="Times New Roman" w:cs="Times New Roman" w:ascii="Times New Roman" w:hAnsi="Times New Roman"/>
          <w:sz w:val="24"/>
          <w:szCs w:val="24"/>
        </w:rPr>
        <w:t>National Center for Education Statistics, Institute of Education Sciences, U.S. Department of Education. Washington, DC.</w:t>
      </w:r>
      <w:r>
        <w:rPr>
          <w:rFonts w:ascii="Times New Roman" w:hAnsi="Times New Roman"/>
          <w:sz w:val="24"/>
          <w:szCs w:val="24"/>
        </w:rPr>
        <w:t>” (p. 4–10)</w:t>
      </w:r>
    </w:p>
    <w:p>
      <w:pPr>
        <w:pStyle w:val="Normal"/>
        <w:numPr>
          <w:ilvl w:val="1"/>
          <w:numId w:val="1"/>
        </w:numPr>
        <w:rPr/>
      </w:pPr>
      <w:r>
        <w:rPr>
          <w:rFonts w:ascii="Times New Roman" w:hAnsi="Times New Roman"/>
          <w:sz w:val="24"/>
          <w:szCs w:val="24"/>
        </w:rPr>
        <w:t>Ennemoser &amp; Schneider,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Guo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RA miscoded “sesIVorDV” as “DV”</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“sesIVorDV” to “IV”</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Hittner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rFonts w:ascii="Times New Roman" w:hAnsi="Times New Roman"/>
          <w:sz w:val="24"/>
          <w:szCs w:val="24"/>
        </w:rPr>
      </w:pPr>
      <w:r>
        <w:rPr>
          <w:rFonts w:ascii="Times New Roman" w:hAnsi="Times New Roman"/>
          <w:sz w:val="24"/>
          <w:szCs w:val="24"/>
        </w:rPr>
        <w:t>Added following to quote: “Follow-up analyses were conducted to determine (a)robustness of the findings when controlling for age, gender, race,and marital status (the latter only in Study 2; all participants weremarried in Study 1); (b) whether SES effects were driven byincome or education” (p. 1480)</w:t>
      </w:r>
    </w:p>
    <w:p>
      <w:pPr>
        <w:pStyle w:val="Normal"/>
        <w:numPr>
          <w:ilvl w:val="1"/>
          <w:numId w:val="1"/>
        </w:numPr>
        <w:rPr/>
      </w:pPr>
      <w:r>
        <w:rPr>
          <w:rFonts w:ascii="Times New Roman" w:hAnsi="Times New Roman"/>
          <w:sz w:val="24"/>
          <w:szCs w:val="24"/>
        </w:rPr>
        <w:t>Kilbanoff et al., 2006</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Kraus &amp; Mendes, 2014</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to “None given”</w:t>
      </w:r>
    </w:p>
    <w:p>
      <w:pPr>
        <w:pStyle w:val="Normal"/>
        <w:numPr>
          <w:ilvl w:val="1"/>
          <w:numId w:val="1"/>
        </w:numPr>
        <w:rPr/>
      </w:pPr>
      <w:r>
        <w:rPr>
          <w:rFonts w:ascii="Times New Roman" w:hAnsi="Times New Roman"/>
          <w:sz w:val="24"/>
          <w:szCs w:val="24"/>
        </w:rPr>
        <w:t>Lu et al., 2015</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For all studies: Reason for operationalization quote described why the research was done, or the conclusion of the research,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so changed reason for all studies to “None given”</w:t>
      </w:r>
    </w:p>
    <w:p>
      <w:pPr>
        <w:pStyle w:val="Normal"/>
        <w:numPr>
          <w:ilvl w:val="1"/>
          <w:numId w:val="1"/>
        </w:numPr>
        <w:rPr/>
      </w:pPr>
      <w:r>
        <w:rPr>
          <w:rFonts w:ascii="Times New Roman" w:hAnsi="Times New Roman"/>
          <w:sz w:val="24"/>
          <w:szCs w:val="24"/>
        </w:rPr>
        <w:t>Ménard &amp; Ruback, 2003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“From the Census, five variables generally found to correlate significantly withcrime rates were used as statistical controls: percentage of males between the ages of 15 and 24, percentage of residents living below the poverty level” (p. 392–393)</w:t>
      </w:r>
    </w:p>
    <w:p>
      <w:pPr>
        <w:pStyle w:val="Normal"/>
        <w:numPr>
          <w:ilvl w:val="1"/>
          <w:numId w:val="1"/>
        </w:numPr>
        <w:rPr/>
      </w:pPr>
      <w:r>
        <w:rPr>
          <w:rFonts w:ascii="Times New Roman" w:hAnsi="Times New Roman"/>
          <w:sz w:val="24"/>
          <w:szCs w:val="24"/>
        </w:rPr>
        <w:t>Mendes et al., 2007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quote: “Therefore,we reasoned that White and Latino students would be expected byparticipants to differ socioeconomically. Specifically, Latino stu-dents would be expected to come from low-socioeconomic status(SES) families (based on stereotypes and demographic informa-tion), White students would be expected to come from high-SESfamilies, and the reverse would be unexpected.” (p. 700)</w:t>
      </w:r>
    </w:p>
    <w:p>
      <w:pPr>
        <w:pStyle w:val="Normal"/>
        <w:numPr>
          <w:ilvl w:val="1"/>
          <w:numId w:val="1"/>
        </w:numPr>
        <w:rPr/>
      </w:pPr>
      <w:r>
        <w:rPr>
          <w:rFonts w:ascii="Times New Roman" w:hAnsi="Times New Roman"/>
          <w:sz w:val="24"/>
          <w:szCs w:val="24"/>
        </w:rPr>
        <w:t>Piff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S1_reason” quote described why the research was done rather than why the operationalization of SES was selected</w:t>
      </w:r>
    </w:p>
    <w:p>
      <w:pPr>
        <w:pStyle w:val="Normal"/>
        <w:numPr>
          <w:ilvl w:val="3"/>
          <w:numId w:val="1"/>
        </w:numPr>
        <w:rPr/>
      </w:pPr>
      <w:r>
        <w:rPr>
          <w:rFonts w:ascii="Times New Roman" w:hAnsi="Times New Roman"/>
          <w:sz w:val="24"/>
          <w:szCs w:val="24"/>
        </w:rPr>
        <w:t>“</w:t>
      </w:r>
      <w:r>
        <w:rPr>
          <w:rFonts w:ascii="Times New Roman" w:hAnsi="Times New Roman"/>
          <w:sz w:val="24"/>
          <w:szCs w:val="24"/>
        </w:rPr>
        <w:t>S5_reason” quote was missing a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no reason for operationalization for Study 1, so changed to “None given”</w:t>
      </w:r>
    </w:p>
    <w:p>
      <w:pPr>
        <w:pStyle w:val="Normal"/>
        <w:numPr>
          <w:ilvl w:val="3"/>
          <w:numId w:val="1"/>
        </w:numPr>
        <w:rPr/>
      </w:pPr>
      <w:r>
        <w:rPr>
          <w:rFonts w:ascii="Times New Roman" w:hAnsi="Times New Roman"/>
          <w:sz w:val="24"/>
          <w:szCs w:val="24"/>
        </w:rPr>
        <w:t>Review Study5 and added following to reason for operationalization: “A principal-axis factor analysis using varimax rotation of thefive social class items yielded a single factor with an eigenvalueabove 1.0 (2.99) that accounted for 60% of the variance. All factorloadings exceeded .58. Moreover, the measures for childhoodsocial class (M4.66,SD1.39,.77) and current socialclass (M4.61,SD1.58,.77) were highly correlated,r(112).58,p.01, and the five items demonstrated highinternal consistency (.82). Thus, we formed a compositemeasure by averaging the five childhood and current social classitems (M4.64,SD1.29).” (p. 957)</w:t>
      </w:r>
    </w:p>
    <w:p>
      <w:pPr>
        <w:pStyle w:val="Normal"/>
        <w:numPr>
          <w:ilvl w:val="1"/>
          <w:numId w:val="1"/>
        </w:numPr>
        <w:rPr/>
      </w:pPr>
      <w:r>
        <w:rPr>
          <w:rFonts w:ascii="Times New Roman" w:hAnsi="Times New Roman"/>
          <w:sz w:val="24"/>
          <w:szCs w:val="24"/>
        </w:rPr>
        <w:t>Schöllgen et al., 2012</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“Morespecifically, we focus on education as one aspect of SES. Educa-tion is supposed to be central to the development of psychologicalresources such as control beliefs (Mirowsky &amp; Ross, 2007) andmight thus shape the emotion– health link.” (p. 340)</w:t>
      </w:r>
    </w:p>
    <w:p>
      <w:pPr>
        <w:pStyle w:val="Normal"/>
        <w:numPr>
          <w:ilvl w:val="1"/>
          <w:numId w:val="1"/>
        </w:numPr>
        <w:rPr/>
      </w:pPr>
      <w:r>
        <w:rPr>
          <w:rFonts w:ascii="Times New Roman" w:hAnsi="Times New Roman"/>
          <w:sz w:val="24"/>
          <w:szCs w:val="24"/>
        </w:rPr>
        <w:t>Sturge-Apple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reason for operationalization, which is now used: “In order to create an index ofsocioeconomic risk, we followed previous guidelines (Conger etal., 2010;Dearing, McCartney, &amp; Taylor, 2001) and created acomposite variable comprised of a family income-to-needs ratio,maternal education, and maternal report of level of chaos in theneighborhood...The three risk assessments were significantlycorrelated with one another (rs ranged from .27 to .52) and werestandardized and summed to create a composite measure of socio-economic risk. Higher scores indicated greater risk.” (p. 162)</w:t>
      </w:r>
    </w:p>
    <w:p>
      <w:pPr>
        <w:pStyle w:val="Normal"/>
        <w:numPr>
          <w:ilvl w:val="1"/>
          <w:numId w:val="1"/>
        </w:numPr>
        <w:rPr/>
      </w:pPr>
      <w:r>
        <w:rPr>
          <w:rFonts w:ascii="Times New Roman" w:hAnsi="Times New Roman"/>
          <w:sz w:val="24"/>
          <w:szCs w:val="24"/>
        </w:rPr>
        <w:t>Troy et al., 2017</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quote for all studies was missing one part</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Added following to all reason quotes: “Like others (Dubois, Rucker, &amp; Galinsky, 2015, Study2;Piff, Kraus, Côté, Cheng, &amp; Keltner, 2010, Study 4;Vinokur,Vine, &amp; Caplan, 1996), we measured SES with current annualfamily income, which was rated on a 1 (“$10,000 or below”) to 12(“$200,000 or above”) scale (M5.27,SD3.06, range1–12; seeTable 1for distribution of income). Here, and in Studies 2 and3, we asked participants to report income using a scale rather thanabsolute income” (p. 142–143)</w:t>
      </w:r>
    </w:p>
    <w:p>
      <w:pPr>
        <w:pStyle w:val="Normal"/>
        <w:numPr>
          <w:ilvl w:val="1"/>
          <w:numId w:val="1"/>
        </w:numPr>
        <w:rPr/>
      </w:pPr>
      <w:r>
        <w:rPr>
          <w:rFonts w:ascii="Times New Roman" w:hAnsi="Times New Roman"/>
          <w:sz w:val="24"/>
          <w:szCs w:val="24"/>
        </w:rPr>
        <w:t>Kraus &amp; Keltner, 2013</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w:t>
      </w:r>
      <w:r>
        <w:rPr>
          <w:rFonts w:ascii="Times New Roman" w:hAnsi="Times New Roman"/>
          <w:sz w:val="24"/>
          <w:szCs w:val="24"/>
        </w:rPr>
        <w:t>S4_reason” for operationalization quote described why the research was done rather than why the operationalization of SES was selected</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Reusing reason given from Studies 1 and 2 (gave same reason for those studies)</w:t>
      </w:r>
    </w:p>
    <w:p>
      <w:pPr>
        <w:pStyle w:val="Normal"/>
        <w:numPr>
          <w:ilvl w:val="1"/>
          <w:numId w:val="1"/>
        </w:numPr>
        <w:rPr/>
      </w:pPr>
      <w:r>
        <w:rPr>
          <w:rFonts w:ascii="Times New Roman" w:hAnsi="Times New Roman"/>
          <w:sz w:val="24"/>
          <w:szCs w:val="24"/>
        </w:rPr>
        <w:t>Falconnier,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Definition of SES simply listed names of researchers whose framework was used to define SES but did not itself define SES</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w:t>
      </w:r>
      <w:r>
        <w:rPr>
          <w:rFonts w:ascii="Times New Roman" w:hAnsi="Times New Roman"/>
          <w:sz w:val="24"/>
          <w:szCs w:val="24"/>
        </w:rPr>
        <w:t>SESDef” changed to “None given”</w:t>
      </w:r>
    </w:p>
    <w:p>
      <w:pPr>
        <w:pStyle w:val="Normal"/>
        <w:numPr>
          <w:ilvl w:val="1"/>
          <w:numId w:val="1"/>
        </w:numPr>
        <w:rPr/>
      </w:pPr>
      <w:r>
        <w:rPr>
          <w:rFonts w:ascii="Times New Roman" w:hAnsi="Times New Roman"/>
          <w:sz w:val="24"/>
          <w:szCs w:val="24"/>
        </w:rPr>
        <w:t>Volbrecht &amp; Goldsmith,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the scores measured at study entry, 30 months, and the 7– 8 years of age follow-up were highly correlated (range 68 –.74), they were averaged into one overall SES score” (p. 1198)</w:t>
      </w:r>
    </w:p>
    <w:p>
      <w:pPr>
        <w:pStyle w:val="Normal"/>
        <w:numPr>
          <w:ilvl w:val="1"/>
          <w:numId w:val="1"/>
        </w:numPr>
        <w:rPr/>
      </w:pPr>
      <w:r>
        <w:rPr>
          <w:rFonts w:ascii="Times New Roman" w:hAnsi="Times New Roman"/>
          <w:sz w:val="24"/>
          <w:szCs w:val="24"/>
        </w:rPr>
        <w:t>Pff et al., 2010</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 for Study 4</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past and current income were significantly correlated, r(89) .65, p .01, we created a composite measure of income by taking the mean of these two indicators” (p. 779)</w:t>
      </w:r>
    </w:p>
    <w:p>
      <w:pPr>
        <w:pStyle w:val="Normal"/>
        <w:numPr>
          <w:ilvl w:val="1"/>
          <w:numId w:val="1"/>
        </w:numPr>
        <w:rPr/>
      </w:pPr>
      <w:r>
        <w:rPr>
          <w:rFonts w:ascii="Times New Roman" w:hAnsi="Times New Roman"/>
          <w:sz w:val="24"/>
          <w:szCs w:val="24"/>
        </w:rPr>
        <w:t>Wrosch et al., 2018</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“Because the three SES measures were positively correlated (rs .39 to .53, ps .01), we computed a composite score of SES for further analysis by averaging the three standardized measures (M .02, SD .81).” (pg.353)</w:t>
      </w:r>
    </w:p>
    <w:p>
      <w:pPr>
        <w:pStyle w:val="Normal"/>
        <w:numPr>
          <w:ilvl w:val="1"/>
          <w:numId w:val="1"/>
        </w:numPr>
        <w:rPr/>
      </w:pPr>
      <w:r>
        <w:rPr>
          <w:rFonts w:ascii="Times New Roman" w:hAnsi="Times New Roman"/>
          <w:sz w:val="24"/>
          <w:szCs w:val="24"/>
        </w:rPr>
        <w:t>Sentse et al., 2009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“SES was measured as the average of the five items (standardized). The SES scale captures 61.2 percent of the variance in the five items and has an internal consistency of .84. Missing values (e.g., when there is only one parent in the family) did not affect the association of this scale with other variables.” (pg.423)</w:t>
      </w:r>
    </w:p>
    <w:p>
      <w:pPr>
        <w:pStyle w:val="Normal"/>
        <w:numPr>
          <w:ilvl w:val="1"/>
          <w:numId w:val="1"/>
        </w:numPr>
        <w:rPr/>
      </w:pPr>
      <w:r>
        <w:rPr>
          <w:rFonts w:ascii="Times New Roman" w:hAnsi="Times New Roman"/>
          <w:sz w:val="24"/>
          <w:szCs w:val="24"/>
        </w:rPr>
        <w:t>Johnson et al.,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Reason for operationalization for Studies 2–4 should be same as for Study 1</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Changed reason for operationalization for Studies 2–4 to that from Study 1</w:t>
      </w:r>
    </w:p>
    <w:p>
      <w:pPr>
        <w:pStyle w:val="Normal"/>
        <w:numPr>
          <w:ilvl w:val="1"/>
          <w:numId w:val="1"/>
        </w:numPr>
        <w:rPr/>
      </w:pPr>
      <w:r>
        <w:rPr>
          <w:rFonts w:ascii="Times New Roman" w:hAnsi="Times New Roman"/>
          <w:sz w:val="24"/>
          <w:szCs w:val="24"/>
        </w:rPr>
        <w:t>Karwowski, 2011</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“A student’s mother’s and father’s educational level was coded on a four-point scale (1 – elementary, 2 – vocational, 3 – high school, 4 – college/university) and then summed. The reliability of this scale was satisfactory ( .73).” (p.157)</w:t>
      </w:r>
    </w:p>
    <w:p>
      <w:pPr>
        <w:pStyle w:val="Normal"/>
        <w:numPr>
          <w:ilvl w:val="1"/>
          <w:numId w:val="1"/>
        </w:numPr>
        <w:rPr/>
      </w:pPr>
      <w:r>
        <w:rPr>
          <w:rFonts w:ascii="Times New Roman" w:hAnsi="Times New Roman"/>
          <w:sz w:val="24"/>
          <w:szCs w:val="24"/>
        </w:rPr>
        <w:t>De Clercq et al., 2019</w:t>
      </w:r>
    </w:p>
    <w:p>
      <w:pPr>
        <w:pStyle w:val="Normal"/>
        <w:numPr>
          <w:ilvl w:val="2"/>
          <w:numId w:val="1"/>
        </w:numPr>
        <w:rPr/>
      </w:pPr>
      <w:r>
        <w:rPr>
          <w:rFonts w:ascii="Times New Roman" w:hAnsi="Times New Roman"/>
          <w:sz w:val="24"/>
          <w:szCs w:val="24"/>
        </w:rPr>
        <w:t>Issues:</w:t>
      </w:r>
    </w:p>
    <w:p>
      <w:pPr>
        <w:pStyle w:val="Normal"/>
        <w:numPr>
          <w:ilvl w:val="3"/>
          <w:numId w:val="1"/>
        </w:numPr>
        <w:rPr/>
      </w:pPr>
      <w:r>
        <w:rPr>
          <w:rFonts w:ascii="Times New Roman" w:hAnsi="Times New Roman"/>
          <w:sz w:val="24"/>
          <w:szCs w:val="24"/>
        </w:rPr>
        <w:t>Missing part from reason for operationalization quote</w:t>
      </w:r>
    </w:p>
    <w:p>
      <w:pPr>
        <w:pStyle w:val="Normal"/>
        <w:numPr>
          <w:ilvl w:val="2"/>
          <w:numId w:val="1"/>
        </w:numPr>
        <w:rPr/>
      </w:pPr>
      <w:r>
        <w:rPr>
          <w:rFonts w:ascii="Times New Roman" w:hAnsi="Times New Roman"/>
          <w:sz w:val="24"/>
          <w:szCs w:val="24"/>
        </w:rPr>
        <w:t>Resolution:</w:t>
      </w:r>
    </w:p>
    <w:p>
      <w:pPr>
        <w:pStyle w:val="Normal"/>
        <w:numPr>
          <w:ilvl w:val="3"/>
          <w:numId w:val="1"/>
        </w:numPr>
        <w:rPr/>
      </w:pPr>
      <w:r>
        <w:rPr>
          <w:rFonts w:ascii="Times New Roman" w:hAnsi="Times New Roman"/>
          <w:sz w:val="24"/>
          <w:szCs w:val="24"/>
        </w:rPr>
        <w:t>Reviewed paper and found following quote which is now added to reason for operationalization: “Exploratory factor analysis revealed a single factor (eigenvalue higher than 1) that explained more than 56% of the variance and with factor loadings ranging from .60 to .83. A standardized factor score was extracted to create an overall SES indicator.” (p.71)</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22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rPr>
  </w:style>
  <w:style w:type="character" w:styleId="ListLabel2">
    <w:name w:val="ListLabel 2"/>
    <w:qFormat/>
    <w:rPr>
      <w:rFonts w:ascii="Times New Roman" w:hAnsi="Times New Roman" w:cs="OpenSymbol"/>
    </w:rPr>
  </w:style>
  <w:style w:type="character" w:styleId="ListLabel3">
    <w:name w:val="ListLabel 3"/>
    <w:qFormat/>
    <w:rPr>
      <w:rFonts w:ascii="Times New Roman" w:hAnsi="Times New Roman"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rPr>
  </w:style>
  <w:style w:type="character" w:styleId="ListLabel11">
    <w:name w:val="ListLabel 11"/>
    <w:qFormat/>
    <w:rPr>
      <w:rFonts w:ascii="Times New Roman" w:hAnsi="Times New Roman" w:cs="OpenSymbol"/>
    </w:rPr>
  </w:style>
  <w:style w:type="character" w:styleId="ListLabel12">
    <w:name w:val="ListLabel 12"/>
    <w:qFormat/>
    <w:rPr>
      <w:rFonts w:ascii="Times New Roman" w:hAnsi="Times New Roman"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rPr>
  </w:style>
  <w:style w:type="character" w:styleId="ListLabel20">
    <w:name w:val="ListLabel 20"/>
    <w:qFormat/>
    <w:rPr>
      <w:rFonts w:ascii="Times New Roman" w:hAnsi="Times New Roman" w:cs="OpenSymbol"/>
    </w:rPr>
  </w:style>
  <w:style w:type="character" w:styleId="ListLabel21">
    <w:name w:val="ListLabel 21"/>
    <w:qFormat/>
    <w:rPr>
      <w:rFonts w:ascii="Times New Roman" w:hAnsi="Times New Roman"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rPr>
  </w:style>
  <w:style w:type="character" w:styleId="ListLabel29">
    <w:name w:val="ListLabel 29"/>
    <w:qFormat/>
    <w:rPr>
      <w:rFonts w:ascii="Times New Roman" w:hAnsi="Times New Roman" w:cs="OpenSymbol"/>
    </w:rPr>
  </w:style>
  <w:style w:type="character" w:styleId="ListLabel30">
    <w:name w:val="ListLabel 30"/>
    <w:qFormat/>
    <w:rPr>
      <w:rFonts w:ascii="Times New Roman" w:hAnsi="Times New Roman"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rPr>
  </w:style>
  <w:style w:type="character" w:styleId="ListLabel38">
    <w:name w:val="ListLabel 38"/>
    <w:qFormat/>
    <w:rPr>
      <w:rFonts w:ascii="Times New Roman" w:hAnsi="Times New Roman" w:cs="OpenSymbol"/>
    </w:rPr>
  </w:style>
  <w:style w:type="character" w:styleId="ListLabel39">
    <w:name w:val="ListLabel 39"/>
    <w:qFormat/>
    <w:rPr>
      <w:rFonts w:ascii="Times New Roman" w:hAnsi="Times New Roman"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rPr>
  </w:style>
  <w:style w:type="character" w:styleId="ListLabel47">
    <w:name w:val="ListLabel 47"/>
    <w:qFormat/>
    <w:rPr>
      <w:rFonts w:ascii="Times New Roman" w:hAnsi="Times New Roman" w:cs="OpenSymbol"/>
      <w:sz w:val="24"/>
    </w:rPr>
  </w:style>
  <w:style w:type="character" w:styleId="ListLabel48">
    <w:name w:val="ListLabel 48"/>
    <w:qFormat/>
    <w:rPr>
      <w:rFonts w:ascii="Times New Roman" w:hAnsi="Times New Roman" w:cs="OpenSymbol"/>
      <w:sz w:val="24"/>
    </w:rPr>
  </w:style>
  <w:style w:type="character" w:styleId="ListLabel49">
    <w:name w:val="ListLabel 49"/>
    <w:qFormat/>
    <w:rPr>
      <w:rFonts w:ascii="Times New Roman" w:hAnsi="Times New Roman" w:cs="OpenSymbol"/>
      <w:sz w:val="24"/>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rPr>
  </w:style>
  <w:style w:type="character" w:styleId="ListLabel56">
    <w:name w:val="ListLabel 56"/>
    <w:qFormat/>
    <w:rPr>
      <w:rFonts w:ascii="Times New Roman" w:hAnsi="Times New Roman" w:cs="OpenSymbol"/>
      <w:sz w:val="24"/>
    </w:rPr>
  </w:style>
  <w:style w:type="character" w:styleId="ListLabel57">
    <w:name w:val="ListLabel 57"/>
    <w:qFormat/>
    <w:rPr>
      <w:rFonts w:ascii="Times New Roman" w:hAnsi="Times New Roman" w:cs="OpenSymbol"/>
      <w:sz w:val="24"/>
    </w:rPr>
  </w:style>
  <w:style w:type="character" w:styleId="ListLabel58">
    <w:name w:val="ListLabel 58"/>
    <w:qFormat/>
    <w:rPr>
      <w:rFonts w:ascii="Times New Roman" w:hAnsi="Times New Roman" w:cs="OpenSymbol"/>
      <w:sz w:val="24"/>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rPr>
  </w:style>
  <w:style w:type="character" w:styleId="ListLabel65">
    <w:name w:val="ListLabel 65"/>
    <w:qFormat/>
    <w:rPr>
      <w:rFonts w:ascii="Times New Roman" w:hAnsi="Times New Roman" w:cs="OpenSymbol"/>
      <w:sz w:val="24"/>
    </w:rPr>
  </w:style>
  <w:style w:type="character" w:styleId="ListLabel66">
    <w:name w:val="ListLabel 66"/>
    <w:qFormat/>
    <w:rPr>
      <w:rFonts w:ascii="Times New Roman" w:hAnsi="Times New Roman" w:cs="OpenSymbol"/>
      <w:sz w:val="24"/>
    </w:rPr>
  </w:style>
  <w:style w:type="character" w:styleId="ListLabel67">
    <w:name w:val="ListLabel 67"/>
    <w:qFormat/>
    <w:rPr>
      <w:rFonts w:ascii="Times New Roman" w:hAnsi="Times New Roman" w:cs="OpenSymbol"/>
      <w:sz w:val="24"/>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rPr>
  </w:style>
  <w:style w:type="character" w:styleId="ListLabel74">
    <w:name w:val="ListLabel 74"/>
    <w:qFormat/>
    <w:rPr>
      <w:rFonts w:ascii="Times New Roman" w:hAnsi="Times New Roman" w:cs="OpenSymbol"/>
      <w:sz w:val="24"/>
    </w:rPr>
  </w:style>
  <w:style w:type="character" w:styleId="ListLabel75">
    <w:name w:val="ListLabel 75"/>
    <w:qFormat/>
    <w:rPr>
      <w:rFonts w:ascii="Times New Roman" w:hAnsi="Times New Roman" w:cs="OpenSymbol"/>
      <w:sz w:val="24"/>
    </w:rPr>
  </w:style>
  <w:style w:type="character" w:styleId="ListLabel76">
    <w:name w:val="ListLabel 76"/>
    <w:qFormat/>
    <w:rPr>
      <w:rFonts w:ascii="Times New Roman" w:hAnsi="Times New Roman" w:cs="OpenSymbol"/>
      <w:sz w:val="24"/>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rPr>
  </w:style>
  <w:style w:type="character" w:styleId="ListLabel83">
    <w:name w:val="ListLabel 83"/>
    <w:qFormat/>
    <w:rPr>
      <w:rFonts w:ascii="Times New Roman" w:hAnsi="Times New Roman" w:cs="OpenSymbol"/>
      <w:sz w:val="24"/>
    </w:rPr>
  </w:style>
  <w:style w:type="character" w:styleId="ListLabel84">
    <w:name w:val="ListLabel 84"/>
    <w:qFormat/>
    <w:rPr>
      <w:rFonts w:ascii="Times New Roman" w:hAnsi="Times New Roman" w:cs="OpenSymbol"/>
      <w:sz w:val="24"/>
    </w:rPr>
  </w:style>
  <w:style w:type="character" w:styleId="ListLabel85">
    <w:name w:val="ListLabel 85"/>
    <w:qFormat/>
    <w:rPr>
      <w:rFonts w:ascii="Times New Roman" w:hAnsi="Times New Roman" w:cs="OpenSymbol"/>
      <w:sz w:val="24"/>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rPr>
  </w:style>
  <w:style w:type="character" w:styleId="ListLabel92">
    <w:name w:val="ListLabel 92"/>
    <w:qFormat/>
    <w:rPr>
      <w:rFonts w:ascii="Times New Roman" w:hAnsi="Times New Roman" w:cs="OpenSymbol"/>
      <w:sz w:val="24"/>
    </w:rPr>
  </w:style>
  <w:style w:type="character" w:styleId="ListLabel93">
    <w:name w:val="ListLabel 93"/>
    <w:qFormat/>
    <w:rPr>
      <w:rFonts w:ascii="Times New Roman" w:hAnsi="Times New Roman" w:cs="OpenSymbol"/>
      <w:sz w:val="24"/>
    </w:rPr>
  </w:style>
  <w:style w:type="character" w:styleId="ListLabel94">
    <w:name w:val="ListLabel 94"/>
    <w:qFormat/>
    <w:rPr>
      <w:rFonts w:ascii="Times New Roman" w:hAnsi="Times New Roman"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Times New Roman" w:hAnsi="Times New Roman" w:cs="OpenSymbol"/>
    </w:rPr>
  </w:style>
  <w:style w:type="character" w:styleId="ListLabel101">
    <w:name w:val="ListLabel 101"/>
    <w:qFormat/>
    <w:rPr>
      <w:rFonts w:ascii="Times New Roman" w:hAnsi="Times New Roman" w:cs="OpenSymbol"/>
      <w:sz w:val="24"/>
    </w:rPr>
  </w:style>
  <w:style w:type="character" w:styleId="ListLabel102">
    <w:name w:val="ListLabel 102"/>
    <w:qFormat/>
    <w:rPr>
      <w:rFonts w:ascii="Times New Roman" w:hAnsi="Times New Roman" w:cs="OpenSymbol"/>
      <w:sz w:val="24"/>
    </w:rPr>
  </w:style>
  <w:style w:type="character" w:styleId="ListLabel103">
    <w:name w:val="ListLabel 103"/>
    <w:qFormat/>
    <w:rPr>
      <w:rFonts w:ascii="Times New Roman" w:hAnsi="Times New Roman" w:cs="OpenSymbol"/>
      <w:sz w:val="24"/>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Times New Roman" w:hAnsi="Times New Roman" w:cs="OpenSymbol"/>
    </w:rPr>
  </w:style>
  <w:style w:type="character" w:styleId="ListLabel110">
    <w:name w:val="ListLabel 110"/>
    <w:qFormat/>
    <w:rPr>
      <w:rFonts w:ascii="Times New Roman" w:hAnsi="Times New Roman" w:cs="OpenSymbol"/>
      <w:sz w:val="24"/>
    </w:rPr>
  </w:style>
  <w:style w:type="character" w:styleId="ListLabel111">
    <w:name w:val="ListLabel 111"/>
    <w:qFormat/>
    <w:rPr>
      <w:rFonts w:ascii="Times New Roman" w:hAnsi="Times New Roman" w:cs="OpenSymbol"/>
      <w:sz w:val="24"/>
    </w:rPr>
  </w:style>
  <w:style w:type="character" w:styleId="ListLabel112">
    <w:name w:val="ListLabel 112"/>
    <w:qFormat/>
    <w:rPr>
      <w:rFonts w:ascii="Times New Roman" w:hAnsi="Times New Roman" w:cs="OpenSymbol"/>
      <w:sz w:val="24"/>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OpenSymbol"/>
    </w:rPr>
  </w:style>
  <w:style w:type="character" w:styleId="ListLabel119">
    <w:name w:val="ListLabel 119"/>
    <w:qFormat/>
    <w:rPr>
      <w:rFonts w:ascii="Times New Roman" w:hAnsi="Times New Roman" w:cs="OpenSymbol"/>
      <w:sz w:val="24"/>
    </w:rPr>
  </w:style>
  <w:style w:type="character" w:styleId="ListLabel120">
    <w:name w:val="ListLabel 120"/>
    <w:qFormat/>
    <w:rPr>
      <w:rFonts w:ascii="Times New Roman" w:hAnsi="Times New Roman" w:cs="OpenSymbol"/>
      <w:sz w:val="24"/>
    </w:rPr>
  </w:style>
  <w:style w:type="character" w:styleId="ListLabel121">
    <w:name w:val="ListLabel 121"/>
    <w:qFormat/>
    <w:rPr>
      <w:rFonts w:ascii="Times New Roman" w:hAnsi="Times New Roman" w:cs="OpenSymbol"/>
      <w:sz w:val="24"/>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Times New Roman" w:hAnsi="Times New Roman" w:cs="OpenSymbol"/>
    </w:rPr>
  </w:style>
  <w:style w:type="character" w:styleId="ListLabel128">
    <w:name w:val="ListLabel 128"/>
    <w:qFormat/>
    <w:rPr>
      <w:rFonts w:ascii="Times New Roman" w:hAnsi="Times New Roman" w:cs="OpenSymbol"/>
      <w:sz w:val="24"/>
    </w:rPr>
  </w:style>
  <w:style w:type="character" w:styleId="ListLabel129">
    <w:name w:val="ListLabel 129"/>
    <w:qFormat/>
    <w:rPr>
      <w:rFonts w:ascii="Times New Roman" w:hAnsi="Times New Roman" w:cs="OpenSymbol"/>
      <w:sz w:val="24"/>
    </w:rPr>
  </w:style>
  <w:style w:type="character" w:styleId="ListLabel130">
    <w:name w:val="ListLabel 130"/>
    <w:qFormat/>
    <w:rPr>
      <w:rFonts w:ascii="Times New Roman" w:hAnsi="Times New Roman" w:cs="OpenSymbol"/>
      <w:sz w:val="24"/>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Times New Roman" w:hAnsi="Times New Roman" w:cs="OpenSymbol"/>
    </w:rPr>
  </w:style>
  <w:style w:type="character" w:styleId="ListLabel137">
    <w:name w:val="ListLabel 137"/>
    <w:qFormat/>
    <w:rPr>
      <w:rFonts w:ascii="Times New Roman" w:hAnsi="Times New Roman" w:cs="OpenSymbol"/>
      <w:sz w:val="24"/>
    </w:rPr>
  </w:style>
  <w:style w:type="character" w:styleId="ListLabel138">
    <w:name w:val="ListLabel 138"/>
    <w:qFormat/>
    <w:rPr>
      <w:rFonts w:ascii="Times New Roman" w:hAnsi="Times New Roman" w:cs="OpenSymbol"/>
      <w:sz w:val="24"/>
    </w:rPr>
  </w:style>
  <w:style w:type="character" w:styleId="ListLabel139">
    <w:name w:val="ListLabel 139"/>
    <w:qFormat/>
    <w:rPr>
      <w:rFonts w:ascii="Times New Roman" w:hAnsi="Times New Roman" w:cs="OpenSymbol"/>
      <w:sz w:val="24"/>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Times New Roman" w:hAnsi="Times New Roman" w:cs="OpenSymbol"/>
    </w:rPr>
  </w:style>
  <w:style w:type="character" w:styleId="ListLabel146">
    <w:name w:val="ListLabel 146"/>
    <w:qFormat/>
    <w:rPr>
      <w:rFonts w:ascii="Times New Roman" w:hAnsi="Times New Roman" w:cs="OpenSymbol"/>
      <w:sz w:val="24"/>
    </w:rPr>
  </w:style>
  <w:style w:type="character" w:styleId="ListLabel147">
    <w:name w:val="ListLabel 147"/>
    <w:qFormat/>
    <w:rPr>
      <w:rFonts w:ascii="Times New Roman" w:hAnsi="Times New Roman" w:cs="OpenSymbol"/>
      <w:sz w:val="24"/>
    </w:rPr>
  </w:style>
  <w:style w:type="character" w:styleId="ListLabel148">
    <w:name w:val="ListLabel 148"/>
    <w:qFormat/>
    <w:rPr>
      <w:rFonts w:ascii="Times New Roman" w:hAnsi="Times New Roman" w:cs="OpenSymbol"/>
      <w:sz w:val="24"/>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imes New Roman" w:hAnsi="Times New Roman" w:cs="OpenSymbol"/>
    </w:rPr>
  </w:style>
  <w:style w:type="character" w:styleId="ListLabel155">
    <w:name w:val="ListLabel 155"/>
    <w:qFormat/>
    <w:rPr>
      <w:rFonts w:ascii="Times New Roman" w:hAnsi="Times New Roman" w:cs="OpenSymbol"/>
      <w:sz w:val="24"/>
    </w:rPr>
  </w:style>
  <w:style w:type="character" w:styleId="ListLabel156">
    <w:name w:val="ListLabel 156"/>
    <w:qFormat/>
    <w:rPr>
      <w:rFonts w:ascii="Times New Roman" w:hAnsi="Times New Roman" w:cs="OpenSymbol"/>
      <w:sz w:val="24"/>
    </w:rPr>
  </w:style>
  <w:style w:type="character" w:styleId="ListLabel157">
    <w:name w:val="ListLabel 157"/>
    <w:qFormat/>
    <w:rPr>
      <w:rFonts w:ascii="Times New Roman" w:hAnsi="Times New Roman" w:cs="OpenSymbol"/>
      <w:sz w:val="24"/>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3283</TotalTime>
  <Application>LibreOffice/5.4.5.1$MacOSX_X86_64 LibreOffice_project/79c9829dd5d8054ec39a82dc51cd9eff340dbee8</Application>
  <Pages>16</Pages>
  <Words>5239</Words>
  <Characters>26604</Characters>
  <CharactersWithSpaces>30808</CharactersWithSpaces>
  <Paragraphs>518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2020-05-15T15:43:47Z</dcterms:created>
  <dc:creator/>
  <dc:description/>
  <dc:language>en-US</dc:language>
  <cp:lastModifiedBy/>
  <dcterms:modified xsi:type="dcterms:W3CDTF">2020-06-11T15:31:38Z</dcterms:modified>
  <cp:revision>106</cp:revision>
  <dc:subject/>
  <dc:title/>
</cp:coreProperties>
</file>