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w:t>
      </w:r>
      <w:r>
        <w:rPr>
          <w:rFonts w:ascii="Times New Roman" w:hAnsi="Times New Roman"/>
          <w:sz w:val="24"/>
          <w:szCs w:val="24"/>
        </w:rPr>
        <w:t xml:space="preserve"> paper and found following reason for operationalization, which is now used: “</w:t>
      </w:r>
      <w:r>
        <w:rPr>
          <w:rFonts w:ascii="Times New Roman" w:hAnsi="Times New Roman"/>
          <w:sz w:val="24"/>
          <w:szCs w:val="24"/>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r>
        <w:rPr>
          <w:rFonts w:ascii="Times New Roman" w:hAnsi="Times New Roman"/>
          <w:sz w:val="24"/>
          <w:szCs w:val="24"/>
        </w:rPr>
        <w:t xml:space="preserve">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w:t>
      </w:r>
      <w:r>
        <w:rPr>
          <w:rFonts w:ascii="Times New Roman" w:hAnsi="Times New Roman"/>
          <w:sz w:val="24"/>
          <w:szCs w:val="24"/>
        </w:rPr>
        <w:t xml:space="preserve">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Reviewed</w:t>
      </w:r>
      <w:r>
        <w:rPr>
          <w:rFonts w:ascii="Times New Roman" w:hAnsi="Times New Roman"/>
          <w:sz w:val="24"/>
          <w:szCs w:val="24"/>
        </w:rPr>
        <w:t xml:space="preserve"> paper and found following reason for operationalization, which is now used: “</w:t>
      </w:r>
      <w:r>
        <w:rPr>
          <w:rFonts w:ascii="Times New Roman" w:hAnsi="Times New Roman"/>
          <w:sz w:val="24"/>
          <w:szCs w:val="24"/>
        </w:rPr>
        <w:t>SES variables wereselected based on their relative stability overtime and specific relation to health disparityintervention research (Shavers, 2007).</w:t>
      </w:r>
      <w:r>
        <w:rPr>
          <w:rFonts w:ascii="Times New Roman" w:hAnsi="Times New Roman"/>
          <w:sz w:val="24"/>
          <w:szCs w:val="24"/>
        </w:rPr>
        <w:t>” (p. 3)</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1235</TotalTime>
  <Application>LibreOffice/5.4.5.1$MacOSX_X86_64 LibreOffice_project/79c9829dd5d8054ec39a82dc51cd9eff340dbee8</Application>
  <Pages>11</Pages>
  <Words>3437</Words>
  <Characters>16718</Characters>
  <CharactersWithSpaces>19370</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2020-06-03T10:18:17Z</dcterms:modified>
  <cp:revision>74</cp:revision>
  <dc:subject/>
  <dc:title/>
</cp:coreProperties>
</file>