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From used row, “S4_reason” describes why research was done, rather than why the particular operationalization was used</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3"/>
          <w:numId w:val="1"/>
        </w:numPr>
        <w:rPr/>
      </w:pPr>
      <w:r>
        <w:rPr>
          <w:rFonts w:ascii="Times New Roman" w:hAnsi="Times New Roman"/>
          <w:sz w:val="24"/>
          <w:szCs w:val="24"/>
        </w:rPr>
        <w:t>Upon reviewing Study 4, following reason for operationalization was found, which is now used: “Study 3 showed that low subjective SES causally increasesaggression. Although the manipulation suggests that we success-fully induced differences in the experience of social status, somereaders may be concerned that our manipulation in Study 3 primesmaterialistic desires or aspirations. Hence, in Study 4, we em-ployed a different approach to manipulate subjective SES. Con-cretely, we adapted a procedure byCallan, Shead, and Olson(2011)(see alsoBrown-Iannuzzi, Lundberg, Kay, &amp; Payne, 2015;Callan, Ellard, Shead, &amp; Hodgins, 2008). After answering a seriesof questions, participants were randomly assigned to either learnthat they have a higher SES than similar others, an SES in theaverage range of the socioeconomic status of similar others, or alower SES than similar others.” (p. 185)</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3"/>
          <w:numId w:val="1"/>
        </w:numPr>
        <w:rPr/>
      </w:pPr>
      <w:r>
        <w:rPr>
          <w:rFonts w:ascii="Times New Roman" w:hAnsi="Times New Roman"/>
          <w:sz w:val="24"/>
          <w:szCs w:val="24"/>
        </w:rPr>
        <w:t>Reason for operationalization quote described why SES was controlled for rather than why the indicators of SES were chosen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Garner,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Navarro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3"/>
          <w:numId w:val="1"/>
        </w:numPr>
        <w:rPr/>
      </w:pPr>
      <w:r>
        <w:rPr>
          <w:rFonts w:ascii="Times New Roman" w:hAnsi="Times New Roman"/>
          <w:sz w:val="24"/>
          <w:szCs w:val="24"/>
        </w:rPr>
        <w:t>RA did not update “sesMainEffect”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3"/>
          <w:numId w:val="1"/>
        </w:numPr>
        <w:rPr/>
      </w:pPr>
      <w:r>
        <w:rPr>
          <w:rFonts w:ascii="Times New Roman" w:hAnsi="Times New Roman"/>
          <w:sz w:val="24"/>
          <w:szCs w:val="24"/>
        </w:rPr>
        <w:t>Changed “sesMainEffect” to “Yes”</w:t>
      </w:r>
    </w:p>
    <w:p>
      <w:pPr>
        <w:pStyle w:val="Normal"/>
        <w:numPr>
          <w:ilvl w:val="1"/>
          <w:numId w:val="1"/>
        </w:numPr>
        <w:rPr/>
      </w:pPr>
      <w:r>
        <w:rPr>
          <w:rFonts w:ascii="Times New Roman" w:hAnsi="Times New Roman"/>
          <w:sz w:val="24"/>
          <w:szCs w:val="24"/>
        </w:rPr>
        <w:t>Newcomb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“sesMainEffect” and “sesMainInterest”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“sesMainEffect” and “sesMainInterest” to “Yes”</w:t>
      </w:r>
    </w:p>
    <w:p>
      <w:pPr>
        <w:pStyle w:val="Normal"/>
        <w:numPr>
          <w:ilvl w:val="1"/>
          <w:numId w:val="1"/>
        </w:numPr>
        <w:rPr/>
      </w:pPr>
      <w:r>
        <w:rPr>
          <w:rFonts w:ascii="Times New Roman" w:hAnsi="Times New Roman"/>
          <w:sz w:val="24"/>
          <w:szCs w:val="24"/>
        </w:rPr>
        <w:t>Stellar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 (for both S2 and S3)</w:t>
      </w:r>
    </w:p>
    <w:p>
      <w:pPr>
        <w:pStyle w:val="Normal"/>
        <w:numPr>
          <w:ilvl w:val="3"/>
          <w:numId w:val="1"/>
        </w:numPr>
        <w:rPr/>
      </w:pPr>
      <w:r>
        <w:rPr>
          <w:rFonts w:ascii="Times New Roman" w:hAnsi="Times New Roman"/>
          <w:sz w:val="24"/>
          <w:szCs w:val="24"/>
        </w:rPr>
        <w:t>Given reason quote was not a reason for the operationalization (for both S2 and S3)</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 (for both S2 and S3)</w:t>
      </w:r>
    </w:p>
    <w:p>
      <w:pPr>
        <w:pStyle w:val="Normal"/>
        <w:numPr>
          <w:ilvl w:val="3"/>
          <w:numId w:val="1"/>
        </w:numPr>
        <w:rPr/>
      </w:pPr>
      <w:r>
        <w:rPr>
          <w:rFonts w:ascii="Times New Roman" w:hAnsi="Times New Roman"/>
          <w:sz w:val="24"/>
          <w:szCs w:val="24"/>
        </w:rPr>
        <w:t>Deleted old reason quote (for both S2 and S3)</w:t>
      </w:r>
    </w:p>
    <w:p>
      <w:pPr>
        <w:pStyle w:val="Normal"/>
        <w:numPr>
          <w:ilvl w:val="1"/>
          <w:numId w:val="1"/>
        </w:numPr>
        <w:rPr/>
      </w:pPr>
      <w:r>
        <w:rPr>
          <w:rFonts w:ascii="Times New Roman" w:hAnsi="Times New Roman"/>
          <w:sz w:val="24"/>
          <w:szCs w:val="24"/>
        </w:rPr>
        <w:t>Anton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Yu &amp; Seligman,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Betts et al., 2008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del Río et al., 2018</w:t>
        <w:tab/>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Dulay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3" w:name="__DdeLink__547_3944096625"/>
      <w:bookmarkEnd w:id="3"/>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McCoach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Obradovic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Poehlmann et al.,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 Family SES risks at all other time points were highly correlated with NICU SES risks; we used the NICU SES risk index to minimize missing data” (p. 97)</w:t>
      </w:r>
    </w:p>
    <w:p>
      <w:pPr>
        <w:pStyle w:val="Normal"/>
        <w:numPr>
          <w:ilvl w:val="1"/>
          <w:numId w:val="1"/>
        </w:numPr>
        <w:rPr/>
      </w:pPr>
      <w:r>
        <w:rPr>
          <w:rFonts w:ascii="Times New Roman" w:hAnsi="Times New Roman"/>
          <w:sz w:val="24"/>
          <w:szCs w:val="24"/>
        </w:rPr>
        <w:t>Roberts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“A student- or family-level measureof SES is provided in the ECLS data set, which is a composite offive variables reflecting family income and prestige of parents’occupation, each of which was standardized with a mean of 0 anda standard deviation of 1. The measure is treated as continuous andranges from – 4.75 to 2.75. The percentage of students who qual-ified for free or reduced lunch in the fall of 1999 was used as anindicator of schoolwide SES” (p. 672)</w:t>
      </w:r>
    </w:p>
    <w:p>
      <w:pPr>
        <w:pStyle w:val="Normal"/>
        <w:numPr>
          <w:ilvl w:val="1"/>
          <w:numId w:val="1"/>
        </w:numPr>
        <w:rPr/>
      </w:pPr>
      <w:r>
        <w:rPr>
          <w:rFonts w:ascii="Times New Roman" w:hAnsi="Times New Roman"/>
          <w:sz w:val="24"/>
          <w:szCs w:val="24"/>
        </w:rPr>
        <w:t>Andorko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“SES variables wereselected based on their relative stability overtime and specific relation to health disparityintervention research (Shavers, 2007).” (p. 3)</w:t>
      </w:r>
    </w:p>
    <w:p>
      <w:pPr>
        <w:pStyle w:val="Normal"/>
        <w:numPr>
          <w:ilvl w:val="1"/>
          <w:numId w:val="1"/>
        </w:numPr>
        <w:rPr/>
      </w:pPr>
      <w:r>
        <w:rPr>
          <w:rFonts w:ascii="Times New Roman" w:hAnsi="Times New Roman"/>
          <w:sz w:val="24"/>
          <w:szCs w:val="24"/>
        </w:rPr>
        <w:t>Barbarin &amp; Aikens,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Dicke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Reasons for operationalization quote described general modeling for testing all hypotheses, rather than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 xml:space="preserve">Reviewing supplementary materials and discovered SES measure was composite provided in the ECLS dataset, and changed to “Dataset provided_None given”: “socioeconomic status – which was created based on the following components reported by the participant’s parents (guardians): father/male guardian’s education; mother/female guardian’s education; father/male guardian’s occupation; mother/female guardian’s occupation; and household income ( see </w:t>
      </w:r>
      <w:r>
        <w:rPr>
          <w:rFonts w:cs="Times New Roman" w:ascii="Times New Roman" w:hAnsi="Times New Roman"/>
          <w:sz w:val="24"/>
          <w:szCs w:val="24"/>
          <w:lang w:eastAsia="de-DE"/>
        </w:rPr>
        <w:t>Tourangeau et al., 2009</w:t>
      </w:r>
      <w:r>
        <w:rPr>
          <w:rFonts w:ascii="Times New Roman" w:hAnsi="Times New Roman"/>
          <w:sz w:val="24"/>
          <w:szCs w:val="24"/>
        </w:rPr>
        <w:t xml:space="preserve"> for details)….</w:t>
      </w:r>
      <w:r>
        <w:rPr>
          <w:rFonts w:eastAsia="Times New Roman" w:cs="Times New Roman" w:ascii="Times New Roman" w:hAnsi="Times New Roman"/>
          <w:sz w:val="24"/>
          <w:szCs w:val="24"/>
        </w:rPr>
        <w:t xml:space="preserve">Tourangeau, K., Nord, C., Lê, T., Sorongon, A. G., and Najarian, M. (2009). </w:t>
      </w:r>
      <w:r>
        <w:rPr>
          <w:rFonts w:eastAsia="Times New Roman" w:cs="Times New Roman" w:ascii="Times New Roman" w:hAnsi="Times New Roman"/>
          <w:i/>
          <w:sz w:val="24"/>
          <w:szCs w:val="24"/>
        </w:rPr>
        <w:t xml:space="preserve">Early Childhood Longitudinal Study, Kindergarten Class of 1998–99 (ECLS-K), Combined User’s Manual for the ECLS-K Eighth-Grade and K–8 Full Sample Data Files and Electronic Codebooks (NCES 2009–004). </w:t>
      </w:r>
      <w:r>
        <w:rPr>
          <w:rFonts w:eastAsia="Times New Roman" w:cs="Times New Roman" w:ascii="Times New Roman" w:hAnsi="Times New Roman"/>
          <w:sz w:val="24"/>
          <w:szCs w:val="24"/>
        </w:rPr>
        <w:t>National Center for Education Statistics, Institute of Education Sciences, U.S. Department of Education. Washington, DC.</w:t>
      </w:r>
      <w:r>
        <w:rPr>
          <w:rFonts w:ascii="Times New Roman" w:hAnsi="Times New Roman"/>
          <w:sz w:val="24"/>
          <w:szCs w:val="24"/>
        </w:rPr>
        <w:t>” (p. 4–10)</w:t>
      </w:r>
    </w:p>
    <w:p>
      <w:pPr>
        <w:pStyle w:val="Normal"/>
        <w:numPr>
          <w:ilvl w:val="1"/>
          <w:numId w:val="1"/>
        </w:numPr>
        <w:rPr/>
      </w:pPr>
      <w:r>
        <w:rPr>
          <w:rFonts w:ascii="Times New Roman" w:hAnsi="Times New Roman"/>
          <w:sz w:val="24"/>
          <w:szCs w:val="24"/>
        </w:rPr>
        <w:t>Ennemoser &amp; Schneider,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Guo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miscoded “sesIVorDV” as “DV”</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Hittner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following to quote: “Follow-up analyses were conducted to determine (a)robustness of the findings when controlling for age, gender, race,and marital status (the latter only in Study 2; all participants weremarried in Study 1); (b) whether SES effects were driven byincome or education” (p. 1480)</w:t>
      </w:r>
    </w:p>
    <w:p>
      <w:pPr>
        <w:pStyle w:val="Normal"/>
        <w:numPr>
          <w:ilvl w:val="1"/>
          <w:numId w:val="1"/>
        </w:numPr>
        <w:rPr/>
      </w:pPr>
      <w:r>
        <w:rPr>
          <w:rFonts w:ascii="Times New Roman" w:hAnsi="Times New Roman"/>
          <w:sz w:val="24"/>
          <w:szCs w:val="24"/>
        </w:rPr>
        <w:t>Kilbanoff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Kraus &amp; Mendes,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Lu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For all studies: Reason for operationalization quote described why the research was done, or the conclusion of the research,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reason for all studies to “None given”</w:t>
      </w:r>
    </w:p>
    <w:p>
      <w:pPr>
        <w:pStyle w:val="Normal"/>
        <w:numPr>
          <w:ilvl w:val="1"/>
          <w:numId w:val="1"/>
        </w:numPr>
        <w:rPr/>
      </w:pPr>
      <w:r>
        <w:rPr>
          <w:rFonts w:ascii="Times New Roman" w:hAnsi="Times New Roman"/>
          <w:sz w:val="24"/>
          <w:szCs w:val="24"/>
        </w:rPr>
        <w:t>Ménard &amp; Ruback,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“From the Census, five variables generally found to correlate significantly withcrime rates were used as statistical controls: percentage of males between the ages of 15 and 24, percentage of residents living below the poverty level” (p. 392–393)</w:t>
      </w:r>
    </w:p>
    <w:p>
      <w:pPr>
        <w:pStyle w:val="Normal"/>
        <w:numPr>
          <w:ilvl w:val="1"/>
          <w:numId w:val="1"/>
        </w:numPr>
        <w:rPr/>
      </w:pPr>
      <w:r>
        <w:rPr>
          <w:rFonts w:ascii="Times New Roman" w:hAnsi="Times New Roman"/>
          <w:sz w:val="24"/>
          <w:szCs w:val="24"/>
        </w:rPr>
        <w:t>Mendes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quote: “Therefore,we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 (p. 700)</w:t>
      </w:r>
    </w:p>
    <w:p>
      <w:pPr>
        <w:pStyle w:val="Normal"/>
        <w:numPr>
          <w:ilvl w:val="1"/>
          <w:numId w:val="1"/>
        </w:numPr>
        <w:rPr/>
      </w:pPr>
      <w:r>
        <w:rPr>
          <w:rFonts w:ascii="Times New Roman" w:hAnsi="Times New Roman"/>
          <w:sz w:val="24"/>
          <w:szCs w:val="24"/>
        </w:rPr>
        <w:t>Piff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described why the research was done rather than why the operationalization of SES was selected</w:t>
      </w:r>
    </w:p>
    <w:p>
      <w:pPr>
        <w:pStyle w:val="Normal"/>
        <w:numPr>
          <w:ilvl w:val="3"/>
          <w:numId w:val="1"/>
        </w:numPr>
        <w:rPr/>
      </w:pPr>
      <w:r>
        <w:rPr>
          <w:rFonts w:ascii="Times New Roman" w:hAnsi="Times New Roman"/>
          <w:sz w:val="24"/>
          <w:szCs w:val="24"/>
        </w:rPr>
        <w:t>“</w:t>
      </w:r>
      <w:r>
        <w:rPr>
          <w:rFonts w:ascii="Times New Roman" w:hAnsi="Times New Roman"/>
          <w:sz w:val="24"/>
          <w:szCs w:val="24"/>
        </w:rPr>
        <w:t>S5_reason” quote was missing a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for Study 1, so changed to “None given”</w:t>
      </w:r>
    </w:p>
    <w:p>
      <w:pPr>
        <w:pStyle w:val="Normal"/>
        <w:numPr>
          <w:ilvl w:val="3"/>
          <w:numId w:val="1"/>
        </w:numPr>
        <w:rPr/>
      </w:pPr>
      <w:r>
        <w:rPr>
          <w:rFonts w:ascii="Times New Roman" w:hAnsi="Times New Roman"/>
          <w:sz w:val="24"/>
          <w:szCs w:val="24"/>
        </w:rPr>
        <w:t>Review Study5 and added following to reason for operationalization: “A principal-axis factor analysis using varimax rotation of thefive social class items yielded a single factor with an eigenvalueabove 1.0 (2.99) that accounted for 60% of the variance. All factorloadings exceeded .58. Moreover, the measures for childhoodsocial class (M4.66,SD1.39,.77) and current socialclass (M4.61,SD1.58,.77) were highly correlated,r(112).58,p.01, and the five items demonstrated highinternal consistency (.82). Thus, we formed a compositemeasure by averaging the five childhood and current social classitems (M4.64,SD1.29).” (p. 957)</w:t>
      </w:r>
    </w:p>
    <w:p>
      <w:pPr>
        <w:pStyle w:val="Normal"/>
        <w:numPr>
          <w:ilvl w:val="1"/>
          <w:numId w:val="1"/>
        </w:numPr>
        <w:rPr/>
      </w:pPr>
      <w:r>
        <w:rPr>
          <w:rFonts w:ascii="Times New Roman" w:hAnsi="Times New Roman"/>
          <w:sz w:val="24"/>
          <w:szCs w:val="24"/>
        </w:rPr>
        <w:t>Schöllgen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“Morespecifically, we focus on education as one aspect of SES. Educa-tion is supposed to be central to the development of psychologicalresources such as control beliefs (Mirowsky &amp; Ross, 2007) andmight thus shape the emotion– health link.” (p. 340)</w:t>
      </w:r>
    </w:p>
    <w:p>
      <w:pPr>
        <w:pStyle w:val="Normal"/>
        <w:numPr>
          <w:ilvl w:val="1"/>
          <w:numId w:val="1"/>
        </w:numPr>
        <w:rPr/>
      </w:pPr>
      <w:r>
        <w:rPr>
          <w:rFonts w:ascii="Times New Roman" w:hAnsi="Times New Roman"/>
          <w:sz w:val="24"/>
          <w:szCs w:val="24"/>
        </w:rPr>
        <w:t>Sturge-Apple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“In order to create an index ofsocioeconomic risk, we followed previous guidelines (Conger etal., 2010;Dearing, McCartney, &amp; Taylor, 2001) and created acomposite variable comprised of a family income-to-needs ratio,maternal education, and maternal report of level of chaos in theneighborhood...The three risk assessments were significantlycorrelated with one another (rs ranged from .27 to .52) and werestandardized and summed to create a composite measure of socio-economic risk. Higher scores indicated greater risk.” (p. 162)</w:t>
      </w:r>
    </w:p>
    <w:p>
      <w:pPr>
        <w:pStyle w:val="Normal"/>
        <w:numPr>
          <w:ilvl w:val="1"/>
          <w:numId w:val="1"/>
        </w:numPr>
        <w:rPr/>
      </w:pPr>
      <w:r>
        <w:rPr>
          <w:rFonts w:ascii="Times New Roman" w:hAnsi="Times New Roman"/>
          <w:sz w:val="24"/>
          <w:szCs w:val="24"/>
        </w:rPr>
        <w:t>Troy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quote for all studies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all reason quotes: “Like others (Dubois, Rucker, &amp; Galinsky, 2015, Study2;Piff, Kraus, Côté, Cheng, &amp; Keltner, 2010, Study 4;Vinokur,Vine, &amp; Caplan, 1996), we measured SES with current annualfamily income, which was rated on a 1 (“$10,000 or below”) to 12(“$200,000 or above”) scale (M5.27,SD3.06, range1–12; seeTable 1for distribution of income). Here, and in Studies 2 and3, we asked participants to report income using a scale rather thanabsolute income” (p. 142–143)</w:t>
      </w:r>
    </w:p>
    <w:p>
      <w:pPr>
        <w:pStyle w:val="Normal"/>
        <w:numPr>
          <w:ilvl w:val="1"/>
          <w:numId w:val="1"/>
        </w:numPr>
        <w:rPr/>
      </w:pPr>
      <w:r>
        <w:rPr>
          <w:rFonts w:ascii="Times New Roman" w:hAnsi="Times New Roman"/>
          <w:sz w:val="24"/>
          <w:szCs w:val="24"/>
        </w:rPr>
        <w:t>Kraus &amp; Keltner,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S4_reason”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Reusing reason given from Studies 1 and 2 (gave same reason for those studies)</w:t>
      </w:r>
    </w:p>
    <w:p>
      <w:pPr>
        <w:pStyle w:val="Normal"/>
        <w:numPr>
          <w:ilvl w:val="1"/>
          <w:numId w:val="1"/>
        </w:numPr>
        <w:rPr/>
      </w:pPr>
      <w:r>
        <w:rPr>
          <w:rFonts w:ascii="Times New Roman" w:hAnsi="Times New Roman"/>
          <w:sz w:val="24"/>
          <w:szCs w:val="24"/>
        </w:rPr>
        <w:t>Falconnier, 2009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Definition of SES simply listed names of researchers whose framework was used to define SES but did not itself define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w:t>
      </w:r>
      <w:r>
        <w:rPr>
          <w:rFonts w:ascii="Times New Roman" w:hAnsi="Times New Roman"/>
          <w:sz w:val="24"/>
          <w:szCs w:val="24"/>
        </w:rPr>
        <w:t>SESDef” changed to “None given”</w:t>
      </w:r>
    </w:p>
    <w:p>
      <w:pPr>
        <w:pStyle w:val="Normal"/>
        <w:numPr>
          <w:ilvl w:val="1"/>
          <w:numId w:val="1"/>
        </w:numPr>
        <w:rPr/>
      </w:pPr>
      <w:r>
        <w:rPr>
          <w:rFonts w:ascii="Times New Roman" w:hAnsi="Times New Roman"/>
          <w:sz w:val="24"/>
          <w:szCs w:val="24"/>
        </w:rPr>
        <w:t>Volbrecht &amp; Goldsmith,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w:t>
      </w:r>
      <w:r>
        <w:rPr>
          <w:rFonts w:ascii="Times New Roman" w:hAnsi="Times New Roman"/>
          <w:sz w:val="24"/>
          <w:szCs w:val="24"/>
        </w:rPr>
        <w:t xml:space="preserve">Because the scores measured at study entry, 30 months, and the 7– 8 years of age follow-up were highly correlated (range 68 –.74), they were averaged into one overall SES score” </w:t>
      </w:r>
      <w:r>
        <w:rPr>
          <w:rFonts w:ascii="Times New Roman" w:hAnsi="Times New Roman"/>
          <w:sz w:val="24"/>
          <w:szCs w:val="24"/>
        </w:rPr>
        <w:t>(p. 1198)</w:t>
      </w:r>
    </w:p>
    <w:p>
      <w:pPr>
        <w:pStyle w:val="Normal"/>
        <w:numPr>
          <w:ilvl w:val="1"/>
          <w:numId w:val="1"/>
        </w:numPr>
        <w:rPr/>
      </w:pPr>
      <w:r>
        <w:rPr>
          <w:rFonts w:ascii="Times New Roman" w:hAnsi="Times New Roman"/>
          <w:sz w:val="24"/>
          <w:szCs w:val="24"/>
        </w:rPr>
        <w:t>P</w:t>
      </w:r>
      <w:r>
        <w:rPr>
          <w:rFonts w:ascii="Times New Roman" w:hAnsi="Times New Roman"/>
          <w:sz w:val="24"/>
          <w:szCs w:val="24"/>
        </w:rPr>
        <w:t>ff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 xml:space="preserve">Missing part from reason for operationalization quote </w:t>
      </w:r>
      <w:r>
        <w:rPr>
          <w:rFonts w:ascii="Times New Roman" w:hAnsi="Times New Roman"/>
          <w:sz w:val="24"/>
          <w:szCs w:val="24"/>
        </w:rPr>
        <w:t>for Study 4</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“Because past and current income were significantly correlated, r(89) .65, p .01, we created a composite measure of income by taking the mean of these two indicators” (p. 779)</w:t>
      </w:r>
    </w:p>
    <w:p>
      <w:pPr>
        <w:pStyle w:val="Normal"/>
        <w:numPr>
          <w:ilvl w:val="1"/>
          <w:numId w:val="1"/>
        </w:numPr>
        <w:rPr/>
      </w:pPr>
      <w:r>
        <w:rPr>
          <w:rFonts w:ascii="Times New Roman" w:hAnsi="Times New Roman"/>
          <w:sz w:val="24"/>
          <w:szCs w:val="24"/>
        </w:rPr>
        <w:t>W</w:t>
      </w:r>
      <w:r>
        <w:rPr>
          <w:rFonts w:ascii="Times New Roman" w:hAnsi="Times New Roman"/>
          <w:sz w:val="24"/>
          <w:szCs w:val="24"/>
        </w:rPr>
        <w:t>rosch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“Because the three SES measures were positively correlated (rs .39 to .53, ps .01), we computed a composite score of SES for further analysis by averaging the three standardized measures (M .02, SD .81).” (pg.353)</w:t>
      </w:r>
    </w:p>
    <w:p>
      <w:pPr>
        <w:pStyle w:val="Normal"/>
        <w:numPr>
          <w:ilvl w:val="1"/>
          <w:numId w:val="1"/>
        </w:numPr>
        <w:rPr/>
      </w:pPr>
      <w:r>
        <w:rPr>
          <w:rFonts w:ascii="Times New Roman" w:hAnsi="Times New Roman"/>
          <w:sz w:val="24"/>
          <w:szCs w:val="24"/>
        </w:rPr>
        <w:t>S</w:t>
      </w:r>
      <w:r>
        <w:rPr>
          <w:rFonts w:ascii="Times New Roman" w:hAnsi="Times New Roman"/>
          <w:sz w:val="24"/>
          <w:szCs w:val="24"/>
        </w:rPr>
        <w:t>entse et al., 2009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“SES was measured as the average of the five items (standardized). The SES scale captures 61.2 percent of the variance in the five items and has an internal consistency of .84. Missing values (e.g., when there is only one parent in the family) did not affect the association of this scale with other variables.” (pg.423)</w:t>
      </w:r>
    </w:p>
    <w:p>
      <w:pPr>
        <w:pStyle w:val="Normal"/>
        <w:numPr>
          <w:ilvl w:val="1"/>
          <w:numId w:val="1"/>
        </w:numPr>
        <w:rPr/>
      </w:pPr>
      <w:r>
        <w:rPr>
          <w:rFonts w:ascii="Times New Roman" w:hAnsi="Times New Roman"/>
          <w:sz w:val="24"/>
          <w:szCs w:val="24"/>
        </w:rPr>
        <w:t>J</w:t>
      </w:r>
      <w:r>
        <w:rPr>
          <w:rFonts w:ascii="Times New Roman" w:hAnsi="Times New Roman"/>
          <w:sz w:val="24"/>
          <w:szCs w:val="24"/>
        </w:rPr>
        <w:t>ohnson et al.,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for Studies 2–4 should be same as for Study 1</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reason for operationalization for Studies 2–4 to that from Study 1</w:t>
      </w:r>
    </w:p>
    <w:p>
      <w:pPr>
        <w:pStyle w:val="Normal"/>
        <w:numPr>
          <w:ilvl w:val="1"/>
          <w:numId w:val="1"/>
        </w:numPr>
        <w:rPr/>
      </w:pPr>
      <w:r>
        <w:rPr>
          <w:rFonts w:ascii="Times New Roman" w:hAnsi="Times New Roman"/>
          <w:sz w:val="24"/>
          <w:szCs w:val="24"/>
        </w:rPr>
        <w:t>Karwowski,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“A student’s mother’s and father’s educational level was coded on a four-point scale (1 – elementary, 2 – vocational, 3 – high school, 4 – college/university) and then summed. The reliability of this scale was satisfactory (</w:t>
        <w:t xml:space="preserve"> .73).” </w:t>
      </w:r>
      <w:r>
        <w:rPr>
          <w:rFonts w:ascii="Times New Roman" w:hAnsi="Times New Roman"/>
          <w:sz w:val="24"/>
          <w:szCs w:val="24"/>
        </w:rPr>
        <w:t>(</w:t>
      </w:r>
      <w:r>
        <w:rPr>
          <w:rFonts w:ascii="Times New Roman" w:hAnsi="Times New Roman"/>
          <w:sz w:val="24"/>
          <w:szCs w:val="24"/>
        </w:rPr>
        <w:t>p.157</w:t>
      </w:r>
      <w:r>
        <w:rPr>
          <w:rFonts w:ascii="Times New Roman" w:hAnsi="Times New Roman"/>
          <w:sz w:val="24"/>
          <w:szCs w:val="24"/>
        </w:rPr>
        <w:t>)</w:t>
      </w:r>
    </w:p>
    <w:p>
      <w:pPr>
        <w:pStyle w:val="Normal"/>
        <w:numPr>
          <w:ilvl w:val="1"/>
          <w:numId w:val="1"/>
        </w:numPr>
        <w:rPr/>
      </w:pPr>
      <w:r>
        <w:rPr>
          <w:rFonts w:ascii="Times New Roman" w:hAnsi="Times New Roman"/>
          <w:sz w:val="24"/>
          <w:szCs w:val="24"/>
        </w:rPr>
        <w:t>De Clercq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 xml:space="preserve">Reviewed paper and found following quote which is now added to reason for operationalization: “Exploratory factor analysis revealed a single factor (eigenvalue higher than 1) that explained more than 56% of the variance and with factor loadings ranging from .60 to .83. A standardized factor score was extracted to create an overall SES indicator.” </w:t>
      </w:r>
      <w:r>
        <w:rPr>
          <w:rFonts w:ascii="Times New Roman" w:hAnsi="Times New Roman"/>
          <w:sz w:val="24"/>
          <w:szCs w:val="24"/>
        </w:rPr>
        <w:t>(</w:t>
      </w:r>
      <w:r>
        <w:rPr>
          <w:rFonts w:ascii="Times New Roman" w:hAnsi="Times New Roman"/>
          <w:sz w:val="24"/>
          <w:szCs w:val="24"/>
        </w:rPr>
        <w:t>p.71</w:t>
      </w:r>
      <w:r>
        <w:rPr>
          <w:rFonts w:ascii="Times New Roman" w:hAnsi="Times New Roman"/>
          <w:sz w:val="24"/>
          <w:szCs w:val="24"/>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ascii="Times New Roman" w:hAnsi="Times New Roman" w:cs="OpenSymbol"/>
      <w:sz w:val="24"/>
    </w:rPr>
  </w:style>
  <w:style w:type="character" w:styleId="ListLabel76">
    <w:name w:val="ListLabel 76"/>
    <w:qFormat/>
    <w:rPr>
      <w:rFonts w:ascii="Times New Roman" w:hAnsi="Times New Roman" w:cs="OpenSymbol"/>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ascii="Times New Roman" w:hAnsi="Times New Roman" w:cs="OpenSymbol"/>
      <w:sz w:val="24"/>
    </w:rPr>
  </w:style>
  <w:style w:type="character" w:styleId="ListLabel84">
    <w:name w:val="ListLabel 84"/>
    <w:qFormat/>
    <w:rPr>
      <w:rFonts w:ascii="Times New Roman" w:hAnsi="Times New Roman" w:cs="OpenSymbol"/>
      <w:sz w:val="24"/>
    </w:rPr>
  </w:style>
  <w:style w:type="character" w:styleId="ListLabel85">
    <w:name w:val="ListLabel 85"/>
    <w:qFormat/>
    <w:rPr>
      <w:rFonts w:ascii="Times New Roman" w:hAnsi="Times New Roman" w:cs="OpenSymbol"/>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sz w:val="24"/>
    </w:rPr>
  </w:style>
  <w:style w:type="character" w:styleId="ListLabel93">
    <w:name w:val="ListLabel 93"/>
    <w:qFormat/>
    <w:rPr>
      <w:rFonts w:ascii="Times New Roman" w:hAnsi="Times New Roman" w:cs="OpenSymbol"/>
      <w:sz w:val="24"/>
    </w:rPr>
  </w:style>
  <w:style w:type="character" w:styleId="ListLabel94">
    <w:name w:val="ListLabel 94"/>
    <w:qFormat/>
    <w:rPr>
      <w:rFonts w:ascii="Times New Roman" w:hAnsi="Times New Roman" w:cs="OpenSymbol"/>
      <w:sz w:val="24"/>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ascii="Times New Roman" w:hAnsi="Times New Roman"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ascii="Times New Roman" w:hAnsi="Times New Roman" w:cs="OpenSymbol"/>
      <w:sz w:val="24"/>
    </w:rPr>
  </w:style>
  <w:style w:type="character" w:styleId="ListLabel111">
    <w:name w:val="ListLabel 111"/>
    <w:qFormat/>
    <w:rPr>
      <w:rFonts w:ascii="Times New Roman" w:hAnsi="Times New Roman" w:cs="OpenSymbol"/>
      <w:sz w:val="24"/>
    </w:rPr>
  </w:style>
  <w:style w:type="character" w:styleId="ListLabel112">
    <w:name w:val="ListLabel 112"/>
    <w:qFormat/>
    <w:rPr>
      <w:rFonts w:ascii="Times New Roman" w:hAnsi="Times New Roman" w:cs="OpenSymbol"/>
      <w:sz w:val="24"/>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sz w:val="24"/>
    </w:rPr>
  </w:style>
  <w:style w:type="character" w:styleId="ListLabel120">
    <w:name w:val="ListLabel 120"/>
    <w:qFormat/>
    <w:rPr>
      <w:rFonts w:ascii="Times New Roman" w:hAnsi="Times New Roman" w:cs="OpenSymbol"/>
      <w:sz w:val="24"/>
    </w:rPr>
  </w:style>
  <w:style w:type="character" w:styleId="ListLabel121">
    <w:name w:val="ListLabel 121"/>
    <w:qFormat/>
    <w:rPr>
      <w:rFonts w:ascii="Times New Roman" w:hAnsi="Times New Roman" w:cs="OpenSymbol"/>
      <w:sz w:val="24"/>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rPr>
  </w:style>
  <w:style w:type="character" w:styleId="ListLabel128">
    <w:name w:val="ListLabel 128"/>
    <w:qFormat/>
    <w:rPr>
      <w:rFonts w:ascii="Times New Roman" w:hAnsi="Times New Roman" w:cs="OpenSymbol"/>
      <w:sz w:val="24"/>
    </w:rPr>
  </w:style>
  <w:style w:type="character" w:styleId="ListLabel129">
    <w:name w:val="ListLabel 129"/>
    <w:qFormat/>
    <w:rPr>
      <w:rFonts w:ascii="Times New Roman" w:hAnsi="Times New Roman" w:cs="OpenSymbol"/>
      <w:sz w:val="24"/>
    </w:rPr>
  </w:style>
  <w:style w:type="character" w:styleId="ListLabel130">
    <w:name w:val="ListLabel 130"/>
    <w:qFormat/>
    <w:rPr>
      <w:rFonts w:ascii="Times New Roman" w:hAnsi="Times New Roman" w:cs="OpenSymbol"/>
      <w:sz w:val="24"/>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ascii="Times New Roman" w:hAnsi="Times New Roman" w:cs="OpenSymbol"/>
      <w:sz w:val="24"/>
    </w:rPr>
  </w:style>
  <w:style w:type="character" w:styleId="ListLabel138">
    <w:name w:val="ListLabel 138"/>
    <w:qFormat/>
    <w:rPr>
      <w:rFonts w:ascii="Times New Roman" w:hAnsi="Times New Roman" w:cs="OpenSymbol"/>
      <w:sz w:val="24"/>
    </w:rPr>
  </w:style>
  <w:style w:type="character" w:styleId="ListLabel139">
    <w:name w:val="ListLabel 139"/>
    <w:qFormat/>
    <w:rPr>
      <w:rFonts w:ascii="Times New Roman" w:hAnsi="Times New Roman" w:cs="OpenSymbol"/>
      <w:sz w:val="24"/>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ascii="Times New Roman" w:hAnsi="Times New Roman" w:cs="OpenSymbol"/>
      <w:sz w:val="24"/>
    </w:rPr>
  </w:style>
  <w:style w:type="character" w:styleId="ListLabel147">
    <w:name w:val="ListLabel 147"/>
    <w:qFormat/>
    <w:rPr>
      <w:rFonts w:ascii="Times New Roman" w:hAnsi="Times New Roman" w:cs="OpenSymbol"/>
      <w:sz w:val="24"/>
    </w:rPr>
  </w:style>
  <w:style w:type="character" w:styleId="ListLabel148">
    <w:name w:val="ListLabel 148"/>
    <w:qFormat/>
    <w:rPr>
      <w:rFonts w:ascii="Times New Roman" w:hAnsi="Times New Roman" w:cs="OpenSymbol"/>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3282</TotalTime>
  <Application>LibreOffice/5.4.5.1$MacOSX_X86_64 LibreOffice_project/79c9829dd5d8054ec39a82dc51cd9eff340dbee8</Application>
  <Pages>16</Pages>
  <Words>5239</Words>
  <Characters>26606</Characters>
  <CharactersWithSpaces>30811</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2020-06-11T11:53:28Z</dcterms:modified>
  <cp:revision>104</cp:revision>
  <dc:subject/>
  <dc:title/>
</cp:coreProperties>
</file>