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Chrome does not allow access to local file: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919663" cy="2115334"/>
            <wp:effectExtent b="0" l="0" r="0" t="0"/>
            <wp:docPr id="6595750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115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To enable data.json, upload all to github.io:</w:t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https://samtan20240527.github.io/TestDataJson/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 cmd: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chrome.exe - - allow-file-access-from-files file:///C:/(folder)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https://apexcharts.com/docs/update-charts-from-json-api-ajax/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0" w:before="0" w:line="240" w:lineRule="auto"/>
        <w:rPr>
          <w:b w:val="1"/>
          <w:color w:val="242424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Business Problems</w:t>
      </w:r>
    </w:p>
    <w:p w:rsidR="00000000" w:rsidDel="00000000" w:rsidP="00000000" w:rsidRDefault="00000000" w:rsidRPr="00000000" w14:paraId="00000012">
      <w:pPr>
        <w:shd w:fill="ffffff" w:val="clear"/>
        <w:spacing w:before="280" w:line="240" w:lineRule="auto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The following are the questions we want to answer to uncover insights.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before="640" w:line="24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How does sale performance vary across the product category?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line="24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Are there any seasonal patterns or trends in sale?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line="24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Which sales representatives have the highest sales performance?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line="24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Are there opportunities for cross-selling and Up-selling?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line="24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Which products have the highest units sold?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line="24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Which territory generated the highest revenue?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line="24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Are there any differences in purchasing behavior between regions?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line="24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Product popularity across regions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line="24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Who are the top spending customers?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line="24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What are the most common sales channels used by customers?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line="24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Most profitable products?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line="240" w:lineRule="auto"/>
        <w:ind w:left="1180" w:hanging="360"/>
        <w:rPr>
          <w:rFonts w:ascii="Georgia" w:cs="Georgia" w:eastAsia="Georgia" w:hAnsi="Georgia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rtl w:val="0"/>
        </w:rPr>
        <w:t xml:space="preserve">What is the overall sales performance across the four years?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Open source - No license cost, no subscription fee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Platform-independent - Run on any browser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Connect to existing data sources - SQLServer, MySQL,JSON, CSV, etc.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https://akzy1991.github.io/CI_project2/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https://github.com/Kern000/project-one?tab=readme-ov-file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https://github.com/public-apis/public-apis?tab=readme-ov-file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https://github.com/Tayboonsiang90/bitcoin-eli5?tab=readme-ov-file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https://muhdarifrawi.github.io/foursquare_mapboxgl/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https://paddlepop25.github.io/trent-project-2-dengue/#aboveZones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https://github.com/Tayboonsiang90/bitcoin-eli5?tab=readme-ov-file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https://henryheyhey92.github.io/FlatRespository/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https://leetcode.com/problems/fizz-buzz/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https://drive.google.com/drive/folders/1vy5oV0sRRfNyx_7pwJrlrSdbWdtNa1KP?usp=drive_link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highlight w:val="white"/>
          <w:rtl w:val="0"/>
        </w:rPr>
        <w:t xml:space="preserve">Wide World Importers</w:t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urier New" w:cs="Courier New" w:eastAsia="Courier New" w:hAnsi="Courier New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7"/>
                <w:szCs w:val="27"/>
                <w:highlight w:val="white"/>
                <w:rtl w:val="0"/>
              </w:rPr>
              <w:t xml:space="preserve">https://learn.microsoft.com/en-us/sql/samples/wide-world-importers-what-is?view=sql-server-ver16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aNbzVg1DSjLc04rRf1dGhyL78A==">CgMxLjAyCGguZ2pkZ3hzOAByITE4bDlvWktvTXlfbWVhZzgtakxWSVpaNGtzUlVBVTFYTA==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2024-09-22T02:12:00Z</dcterms:created>
</cp:coreProperties>
</file>