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B0C" w:rsidRDefault="00210B0C">
      <w:pPr>
        <w:spacing w:after="0"/>
        <w:jc w:val="both"/>
        <w:rPr>
          <w:rFonts w:ascii="Arial" w:eastAsia="Arial" w:hAnsi="Arial" w:cs="Arial"/>
        </w:rPr>
      </w:pPr>
    </w:p>
    <w:p w:rsidR="00210B0C" w:rsidRDefault="005D47C0">
      <w:pPr>
        <w:spacing w:after="0"/>
        <w:jc w:val="both"/>
        <w:rPr>
          <w:rFonts w:ascii="Arial" w:eastAsia="Arial" w:hAnsi="Arial" w:cs="Arial"/>
          <w:b/>
          <w:sz w:val="32"/>
          <w:szCs w:val="32"/>
        </w:rPr>
      </w:pPr>
      <w:r>
        <w:rPr>
          <w:rFonts w:ascii="Arial" w:eastAsia="Arial" w:hAnsi="Arial" w:cs="Arial"/>
          <w:b/>
          <w:sz w:val="32"/>
          <w:szCs w:val="32"/>
        </w:rPr>
        <w:t>Reportatges PRL i reflexió personal</w:t>
      </w:r>
    </w:p>
    <w:p w:rsidR="00210B0C" w:rsidRDefault="00210B0C">
      <w:pPr>
        <w:spacing w:after="0"/>
        <w:jc w:val="both"/>
        <w:rPr>
          <w:rFonts w:ascii="Arial" w:eastAsia="Arial" w:hAnsi="Arial" w:cs="Arial"/>
        </w:rPr>
      </w:pPr>
    </w:p>
    <w:p w:rsidR="00210B0C" w:rsidRDefault="00210B0C">
      <w:pPr>
        <w:spacing w:after="0"/>
        <w:jc w:val="both"/>
        <w:rPr>
          <w:rFonts w:ascii="Arial" w:eastAsia="Arial" w:hAnsi="Arial" w:cs="Arial"/>
        </w:rPr>
      </w:pPr>
    </w:p>
    <w:p w:rsidR="00210B0C" w:rsidRDefault="005D47C0">
      <w:pPr>
        <w:spacing w:after="0"/>
        <w:jc w:val="both"/>
        <w:rPr>
          <w:rFonts w:ascii="Arial" w:eastAsia="Arial" w:hAnsi="Arial" w:cs="Arial"/>
        </w:rPr>
      </w:pPr>
      <w:r>
        <w:rPr>
          <w:rFonts w:ascii="Arial" w:eastAsia="Arial" w:hAnsi="Arial" w:cs="Arial"/>
        </w:rPr>
        <w:t>Després de veure els següents reportatges de RTVE, fes la teva pròpia reflexió i respon a les següents qüestions, raona la teva resposta.</w:t>
      </w:r>
    </w:p>
    <w:p w:rsidR="00210B0C" w:rsidRDefault="00210B0C">
      <w:pPr>
        <w:spacing w:after="0"/>
        <w:jc w:val="both"/>
        <w:rPr>
          <w:rFonts w:ascii="Arial" w:eastAsia="Arial" w:hAnsi="Arial" w:cs="Arial"/>
        </w:rPr>
      </w:pPr>
    </w:p>
    <w:p w:rsidR="00210B0C" w:rsidRDefault="00210B0C">
      <w:pPr>
        <w:spacing w:after="0"/>
        <w:jc w:val="both"/>
        <w:rPr>
          <w:rFonts w:ascii="Arial" w:eastAsia="Arial" w:hAnsi="Arial" w:cs="Arial"/>
        </w:rPr>
      </w:pPr>
    </w:p>
    <w:p w:rsidR="00210B0C" w:rsidRDefault="005D47C0">
      <w:pPr>
        <w:spacing w:after="0"/>
        <w:jc w:val="both"/>
        <w:rPr>
          <w:rFonts w:ascii="Arial" w:eastAsia="Arial" w:hAnsi="Arial" w:cs="Arial"/>
        </w:rPr>
      </w:pPr>
      <w:hyperlink r:id="rId8">
        <w:proofErr w:type="spellStart"/>
        <w:r>
          <w:rPr>
            <w:rFonts w:ascii="Arial" w:eastAsia="Arial" w:hAnsi="Arial" w:cs="Arial"/>
            <w:color w:val="0000FF"/>
            <w:u w:val="single"/>
          </w:rPr>
          <w:t>Ganarse</w:t>
        </w:r>
        <w:proofErr w:type="spellEnd"/>
        <w:r>
          <w:rPr>
            <w:rFonts w:ascii="Arial" w:eastAsia="Arial" w:hAnsi="Arial" w:cs="Arial"/>
            <w:color w:val="0000FF"/>
            <w:u w:val="single"/>
          </w:rPr>
          <w:t xml:space="preserve"> la vida, </w:t>
        </w:r>
        <w:proofErr w:type="spellStart"/>
        <w:r>
          <w:rPr>
            <w:rFonts w:ascii="Arial" w:eastAsia="Arial" w:hAnsi="Arial" w:cs="Arial"/>
            <w:color w:val="0000FF"/>
            <w:u w:val="single"/>
          </w:rPr>
          <w:t>perder</w:t>
        </w:r>
        <w:proofErr w:type="spellEnd"/>
        <w:r>
          <w:rPr>
            <w:rFonts w:ascii="Arial" w:eastAsia="Arial" w:hAnsi="Arial" w:cs="Arial"/>
            <w:color w:val="0000FF"/>
            <w:u w:val="single"/>
          </w:rPr>
          <w:t xml:space="preserve"> la vida</w:t>
        </w:r>
      </w:hyperlink>
    </w:p>
    <w:p w:rsidR="00210B0C" w:rsidRDefault="00210B0C">
      <w:pPr>
        <w:spacing w:after="0"/>
        <w:jc w:val="both"/>
        <w:rPr>
          <w:rFonts w:ascii="Arial" w:eastAsia="Arial" w:hAnsi="Arial" w:cs="Arial"/>
        </w:rPr>
      </w:pPr>
    </w:p>
    <w:p w:rsidR="00210B0C" w:rsidRDefault="00210B0C">
      <w:pPr>
        <w:spacing w:after="0"/>
        <w:jc w:val="both"/>
        <w:rPr>
          <w:rFonts w:ascii="Arial" w:eastAsia="Arial" w:hAnsi="Arial" w:cs="Arial"/>
        </w:rPr>
      </w:pPr>
    </w:p>
    <w:p w:rsidR="00210B0C" w:rsidRDefault="00210B0C">
      <w:pPr>
        <w:spacing w:after="0"/>
        <w:jc w:val="both"/>
        <w:rPr>
          <w:rFonts w:ascii="Arial" w:eastAsia="Arial" w:hAnsi="Arial" w:cs="Arial"/>
        </w:rPr>
      </w:pPr>
    </w:p>
    <w:p w:rsidR="00210B0C" w:rsidRDefault="005D47C0">
      <w:pPr>
        <w:numPr>
          <w:ilvl w:val="0"/>
          <w:numId w:val="1"/>
        </w:numPr>
        <w:pBdr>
          <w:top w:val="nil"/>
          <w:left w:val="nil"/>
          <w:bottom w:val="nil"/>
          <w:right w:val="nil"/>
          <w:between w:val="nil"/>
        </w:pBdr>
        <w:spacing w:after="0"/>
        <w:jc w:val="both"/>
        <w:rPr>
          <w:rFonts w:ascii="Arial" w:eastAsia="Arial" w:hAnsi="Arial" w:cs="Arial"/>
          <w:b/>
          <w:color w:val="000000"/>
        </w:rPr>
      </w:pPr>
      <w:r w:rsidRPr="005D47C0">
        <w:rPr>
          <w:rFonts w:ascii="Arial" w:eastAsia="Arial" w:hAnsi="Arial" w:cs="Arial"/>
          <w:b/>
          <w:color w:val="000000"/>
        </w:rPr>
        <w:t xml:space="preserve">Quins </w:t>
      </w:r>
      <w:r w:rsidRPr="005D47C0">
        <w:rPr>
          <w:rFonts w:ascii="Arial" w:eastAsia="Arial" w:hAnsi="Arial" w:cs="Arial"/>
          <w:b/>
        </w:rPr>
        <w:t>són</w:t>
      </w:r>
      <w:r w:rsidRPr="005D47C0">
        <w:rPr>
          <w:rFonts w:ascii="Arial" w:eastAsia="Arial" w:hAnsi="Arial" w:cs="Arial"/>
          <w:b/>
          <w:color w:val="000000"/>
        </w:rPr>
        <w:t xml:space="preserve"> els agents/actors implicats en la PRL d’una empresa?</w:t>
      </w:r>
    </w:p>
    <w:p w:rsidR="005D47C0" w:rsidRDefault="005D47C0" w:rsidP="005D47C0">
      <w:pPr>
        <w:pBdr>
          <w:top w:val="nil"/>
          <w:left w:val="nil"/>
          <w:bottom w:val="nil"/>
          <w:right w:val="nil"/>
          <w:between w:val="nil"/>
        </w:pBdr>
        <w:spacing w:after="0"/>
        <w:ind w:left="360"/>
        <w:jc w:val="both"/>
        <w:rPr>
          <w:rFonts w:ascii="Arial" w:eastAsia="Arial" w:hAnsi="Arial" w:cs="Arial"/>
          <w:b/>
          <w:color w:val="000000"/>
        </w:rPr>
      </w:pPr>
    </w:p>
    <w:p w:rsidR="005D47C0" w:rsidRDefault="00ED1994" w:rsidP="005D47C0">
      <w:pPr>
        <w:pStyle w:val="Prrafodelista"/>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Treballadors</w:t>
      </w:r>
    </w:p>
    <w:p w:rsidR="005D47C0" w:rsidRDefault="005D47C0" w:rsidP="005D47C0">
      <w:pPr>
        <w:pStyle w:val="Prrafodelista"/>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Empresaris</w:t>
      </w:r>
    </w:p>
    <w:p w:rsidR="005D47C0" w:rsidRDefault="00ED1994" w:rsidP="005D47C0">
      <w:pPr>
        <w:pStyle w:val="Prrafodelista"/>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Mútues</w:t>
      </w:r>
    </w:p>
    <w:p w:rsidR="005D47C0" w:rsidRDefault="005D47C0" w:rsidP="005D47C0">
      <w:pPr>
        <w:pStyle w:val="Prrafodelista"/>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Sindicats</w:t>
      </w:r>
    </w:p>
    <w:p w:rsidR="005D47C0" w:rsidRDefault="00ED1994" w:rsidP="005D47C0">
      <w:pPr>
        <w:pStyle w:val="Prrafodelista"/>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Inspecció</w:t>
      </w:r>
      <w:r w:rsidR="005D47C0">
        <w:rPr>
          <w:rFonts w:ascii="Arial" w:eastAsia="Arial" w:hAnsi="Arial" w:cs="Arial"/>
          <w:color w:val="000000"/>
        </w:rPr>
        <w:t xml:space="preserve"> de treball</w:t>
      </w:r>
    </w:p>
    <w:p w:rsidR="005D47C0" w:rsidRDefault="005D47C0" w:rsidP="005D47C0">
      <w:pPr>
        <w:pStyle w:val="Prrafodelista"/>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Seguretat Social</w:t>
      </w:r>
    </w:p>
    <w:p w:rsidR="005D47C0" w:rsidRPr="005D47C0" w:rsidRDefault="00ED1994" w:rsidP="005D47C0">
      <w:pPr>
        <w:pStyle w:val="Prrafodelista"/>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Associacions</w:t>
      </w:r>
      <w:r w:rsidR="005D47C0">
        <w:rPr>
          <w:rFonts w:ascii="Arial" w:eastAsia="Arial" w:hAnsi="Arial" w:cs="Arial"/>
          <w:color w:val="000000"/>
        </w:rPr>
        <w:t xml:space="preserve"> de </w:t>
      </w:r>
      <w:r>
        <w:rPr>
          <w:rFonts w:ascii="Arial" w:eastAsia="Arial" w:hAnsi="Arial" w:cs="Arial"/>
          <w:color w:val="000000"/>
        </w:rPr>
        <w:t>víctimes</w:t>
      </w:r>
      <w:r w:rsidR="005D47C0">
        <w:rPr>
          <w:rFonts w:ascii="Arial" w:eastAsia="Arial" w:hAnsi="Arial" w:cs="Arial"/>
          <w:color w:val="000000"/>
        </w:rPr>
        <w:t xml:space="preserve"> d’accidents laborals</w:t>
      </w:r>
    </w:p>
    <w:p w:rsidR="00210B0C" w:rsidRPr="005D47C0" w:rsidRDefault="00210B0C">
      <w:pPr>
        <w:pBdr>
          <w:top w:val="nil"/>
          <w:left w:val="nil"/>
          <w:bottom w:val="nil"/>
          <w:right w:val="nil"/>
          <w:between w:val="nil"/>
        </w:pBdr>
        <w:spacing w:after="0"/>
        <w:ind w:left="360"/>
        <w:jc w:val="both"/>
        <w:rPr>
          <w:rFonts w:ascii="Arial" w:eastAsia="Arial" w:hAnsi="Arial" w:cs="Arial"/>
          <w:b/>
          <w:color w:val="000000"/>
        </w:rPr>
      </w:pPr>
    </w:p>
    <w:p w:rsidR="00210B0C" w:rsidRDefault="005D47C0">
      <w:pPr>
        <w:numPr>
          <w:ilvl w:val="0"/>
          <w:numId w:val="1"/>
        </w:numPr>
        <w:pBdr>
          <w:top w:val="nil"/>
          <w:left w:val="nil"/>
          <w:bottom w:val="nil"/>
          <w:right w:val="nil"/>
          <w:between w:val="nil"/>
        </w:pBdr>
        <w:spacing w:after="0"/>
        <w:jc w:val="both"/>
        <w:rPr>
          <w:rFonts w:ascii="Arial" w:eastAsia="Arial" w:hAnsi="Arial" w:cs="Arial"/>
          <w:b/>
          <w:color w:val="000000"/>
        </w:rPr>
      </w:pPr>
      <w:r w:rsidRPr="005D47C0">
        <w:rPr>
          <w:rFonts w:ascii="Arial" w:eastAsia="Arial" w:hAnsi="Arial" w:cs="Arial"/>
          <w:b/>
          <w:color w:val="000000"/>
        </w:rPr>
        <w:t>La responsabilitat de la Seguretat en el treball hauria de recaure només sobre l’empresa?</w:t>
      </w:r>
    </w:p>
    <w:p w:rsidR="005D47C0" w:rsidRDefault="005D47C0" w:rsidP="005D47C0">
      <w:pPr>
        <w:pBdr>
          <w:top w:val="nil"/>
          <w:left w:val="nil"/>
          <w:bottom w:val="nil"/>
          <w:right w:val="nil"/>
          <w:between w:val="nil"/>
        </w:pBdr>
        <w:spacing w:after="0"/>
        <w:ind w:left="360"/>
        <w:jc w:val="both"/>
        <w:rPr>
          <w:rFonts w:ascii="Arial" w:eastAsia="Arial" w:hAnsi="Arial" w:cs="Arial"/>
          <w:b/>
          <w:color w:val="000000"/>
        </w:rPr>
      </w:pPr>
    </w:p>
    <w:p w:rsidR="005D47C0" w:rsidRPr="005D47C0" w:rsidRDefault="005D47C0" w:rsidP="005D47C0">
      <w:pPr>
        <w:pBdr>
          <w:top w:val="nil"/>
          <w:left w:val="nil"/>
          <w:bottom w:val="nil"/>
          <w:right w:val="nil"/>
          <w:between w:val="nil"/>
        </w:pBdr>
        <w:spacing w:after="0"/>
        <w:ind w:left="360"/>
        <w:jc w:val="both"/>
        <w:rPr>
          <w:rFonts w:ascii="Arial" w:eastAsia="Arial" w:hAnsi="Arial" w:cs="Arial"/>
          <w:color w:val="000000"/>
        </w:rPr>
      </w:pPr>
      <w:r>
        <w:rPr>
          <w:rFonts w:ascii="Arial" w:eastAsia="Arial" w:hAnsi="Arial" w:cs="Arial"/>
          <w:color w:val="000000"/>
        </w:rPr>
        <w:t xml:space="preserve">Tant els empresaris com els treballadors son responsables de la seguretat en el treball, però els empresaris tenen la primera responsabilitat ja que son ells els que han de tenir cura que l’espai de treball sigui adient, donar </w:t>
      </w:r>
      <w:proofErr w:type="spellStart"/>
      <w:r>
        <w:rPr>
          <w:rFonts w:ascii="Arial" w:eastAsia="Arial" w:hAnsi="Arial" w:cs="Arial"/>
          <w:color w:val="000000"/>
        </w:rPr>
        <w:t>EPIs</w:t>
      </w:r>
      <w:proofErr w:type="spellEnd"/>
      <w:r>
        <w:rPr>
          <w:rFonts w:ascii="Arial" w:eastAsia="Arial" w:hAnsi="Arial" w:cs="Arial"/>
          <w:color w:val="000000"/>
        </w:rPr>
        <w:t>, formar els treballadors, etc. Una part important també, en la meva opinió, son els inspectors de treball i les institucions publiques que han de controlar que la prevenció sigui efectiva.</w:t>
      </w:r>
    </w:p>
    <w:p w:rsidR="00210B0C" w:rsidRPr="005D47C0" w:rsidRDefault="00210B0C">
      <w:pPr>
        <w:pBdr>
          <w:top w:val="nil"/>
          <w:left w:val="nil"/>
          <w:bottom w:val="nil"/>
          <w:right w:val="nil"/>
          <w:between w:val="nil"/>
        </w:pBdr>
        <w:spacing w:after="0"/>
        <w:ind w:left="720"/>
        <w:rPr>
          <w:rFonts w:ascii="Arial" w:eastAsia="Arial" w:hAnsi="Arial" w:cs="Arial"/>
          <w:b/>
          <w:color w:val="000000"/>
        </w:rPr>
      </w:pPr>
    </w:p>
    <w:p w:rsidR="005D47C0" w:rsidRDefault="005D47C0" w:rsidP="005D47C0">
      <w:pPr>
        <w:numPr>
          <w:ilvl w:val="0"/>
          <w:numId w:val="1"/>
        </w:numPr>
        <w:pBdr>
          <w:top w:val="nil"/>
          <w:left w:val="nil"/>
          <w:bottom w:val="nil"/>
          <w:right w:val="nil"/>
          <w:between w:val="nil"/>
        </w:pBdr>
        <w:spacing w:after="0"/>
        <w:jc w:val="both"/>
        <w:rPr>
          <w:rFonts w:ascii="Arial" w:eastAsia="Arial" w:hAnsi="Arial" w:cs="Arial"/>
          <w:b/>
          <w:color w:val="000000"/>
        </w:rPr>
      </w:pPr>
      <w:r w:rsidRPr="005D47C0">
        <w:rPr>
          <w:rFonts w:ascii="Arial" w:eastAsia="Arial" w:hAnsi="Arial" w:cs="Arial"/>
          <w:b/>
          <w:color w:val="000000"/>
        </w:rPr>
        <w:t>Creus que les imprudències dels treballadors haurien de ser considerades AT igualment?</w:t>
      </w:r>
    </w:p>
    <w:p w:rsidR="005D47C0" w:rsidRDefault="005D47C0" w:rsidP="005D47C0">
      <w:pPr>
        <w:pBdr>
          <w:top w:val="nil"/>
          <w:left w:val="nil"/>
          <w:bottom w:val="nil"/>
          <w:right w:val="nil"/>
          <w:between w:val="nil"/>
        </w:pBdr>
        <w:spacing w:after="0"/>
        <w:ind w:left="360"/>
        <w:jc w:val="both"/>
        <w:rPr>
          <w:rFonts w:ascii="Arial" w:eastAsia="Arial" w:hAnsi="Arial" w:cs="Arial"/>
          <w:b/>
          <w:color w:val="000000"/>
        </w:rPr>
      </w:pPr>
    </w:p>
    <w:p w:rsidR="00210B0C" w:rsidRPr="005D47C0" w:rsidRDefault="005D47C0" w:rsidP="005D47C0">
      <w:pPr>
        <w:pBdr>
          <w:top w:val="nil"/>
          <w:left w:val="nil"/>
          <w:bottom w:val="nil"/>
          <w:right w:val="nil"/>
          <w:between w:val="nil"/>
        </w:pBdr>
        <w:spacing w:after="0"/>
        <w:ind w:left="360"/>
        <w:jc w:val="both"/>
        <w:rPr>
          <w:rFonts w:ascii="Arial" w:eastAsia="Arial" w:hAnsi="Arial" w:cs="Arial"/>
          <w:b/>
          <w:color w:val="000000"/>
        </w:rPr>
      </w:pPr>
      <w:r>
        <w:rPr>
          <w:rFonts w:ascii="Arial" w:eastAsia="Arial" w:hAnsi="Arial" w:cs="Arial"/>
          <w:color w:val="000000"/>
        </w:rPr>
        <w:t>Crec que en tots els casos han de considerar-se accidents de treball, sempre estudiant cada cas i a partir d’aquest punt determinar el grau d’imprudència del treballador i la seva responsabilitat.</w:t>
      </w:r>
      <w:r w:rsidRPr="005D47C0">
        <w:rPr>
          <w:rFonts w:ascii="Arial" w:eastAsia="Arial" w:hAnsi="Arial" w:cs="Arial"/>
          <w:b/>
          <w:color w:val="000000"/>
        </w:rPr>
        <w:t xml:space="preserve"> </w:t>
      </w:r>
    </w:p>
    <w:p w:rsidR="00210B0C" w:rsidRPr="005D47C0" w:rsidRDefault="00210B0C">
      <w:pPr>
        <w:spacing w:after="0"/>
        <w:jc w:val="both"/>
        <w:rPr>
          <w:rFonts w:ascii="Arial" w:eastAsia="Arial" w:hAnsi="Arial" w:cs="Arial"/>
          <w:b/>
        </w:rPr>
      </w:pPr>
    </w:p>
    <w:p w:rsidR="00210B0C" w:rsidRDefault="005D47C0">
      <w:pPr>
        <w:numPr>
          <w:ilvl w:val="0"/>
          <w:numId w:val="1"/>
        </w:numPr>
        <w:pBdr>
          <w:top w:val="nil"/>
          <w:left w:val="nil"/>
          <w:bottom w:val="nil"/>
          <w:right w:val="nil"/>
          <w:between w:val="nil"/>
        </w:pBdr>
        <w:spacing w:after="0"/>
        <w:jc w:val="both"/>
        <w:rPr>
          <w:rFonts w:ascii="Arial" w:eastAsia="Arial" w:hAnsi="Arial" w:cs="Arial"/>
          <w:b/>
          <w:color w:val="000000"/>
        </w:rPr>
      </w:pPr>
      <w:r w:rsidRPr="005D47C0">
        <w:rPr>
          <w:rFonts w:ascii="Arial" w:eastAsia="Arial" w:hAnsi="Arial" w:cs="Arial"/>
          <w:b/>
          <w:color w:val="000000"/>
        </w:rPr>
        <w:lastRenderedPageBreak/>
        <w:t>A quin organisme podem denunciar si es produeixen falta de mesures de seguretat i salut en una empresa?</w:t>
      </w:r>
    </w:p>
    <w:p w:rsidR="005D47C0" w:rsidRDefault="005D47C0" w:rsidP="005D47C0">
      <w:pPr>
        <w:pBdr>
          <w:top w:val="nil"/>
          <w:left w:val="nil"/>
          <w:bottom w:val="nil"/>
          <w:right w:val="nil"/>
          <w:between w:val="nil"/>
        </w:pBdr>
        <w:spacing w:after="0"/>
        <w:ind w:left="360"/>
        <w:jc w:val="both"/>
        <w:rPr>
          <w:rFonts w:ascii="Arial" w:eastAsia="Arial" w:hAnsi="Arial" w:cs="Arial"/>
          <w:b/>
          <w:color w:val="000000"/>
        </w:rPr>
      </w:pPr>
    </w:p>
    <w:p w:rsidR="005D47C0" w:rsidRPr="005D47C0" w:rsidRDefault="00413662" w:rsidP="005D47C0">
      <w:pPr>
        <w:pBdr>
          <w:top w:val="nil"/>
          <w:left w:val="nil"/>
          <w:bottom w:val="nil"/>
          <w:right w:val="nil"/>
          <w:between w:val="nil"/>
        </w:pBdr>
        <w:spacing w:after="0"/>
        <w:ind w:left="360"/>
        <w:jc w:val="both"/>
        <w:rPr>
          <w:rFonts w:ascii="Arial" w:eastAsia="Arial" w:hAnsi="Arial" w:cs="Arial"/>
          <w:color w:val="000000"/>
        </w:rPr>
      </w:pPr>
      <w:r>
        <w:rPr>
          <w:rFonts w:ascii="Arial" w:eastAsia="Arial" w:hAnsi="Arial" w:cs="Arial"/>
          <w:color w:val="000000"/>
        </w:rPr>
        <w:t xml:space="preserve">Els organismes on podem denunciar son la </w:t>
      </w:r>
      <w:r w:rsidR="00ED1994">
        <w:rPr>
          <w:rFonts w:ascii="Arial" w:eastAsia="Arial" w:hAnsi="Arial" w:cs="Arial"/>
          <w:color w:val="000000"/>
        </w:rPr>
        <w:t>Inspecció</w:t>
      </w:r>
      <w:r>
        <w:rPr>
          <w:rFonts w:ascii="Arial" w:eastAsia="Arial" w:hAnsi="Arial" w:cs="Arial"/>
          <w:color w:val="000000"/>
        </w:rPr>
        <w:t xml:space="preserve"> de Treball i Seguretat social ja que són els que tenen competència per investigar possibles infraccions en la </w:t>
      </w:r>
      <w:r w:rsidR="00ED1994">
        <w:rPr>
          <w:rFonts w:ascii="Arial" w:eastAsia="Arial" w:hAnsi="Arial" w:cs="Arial"/>
          <w:color w:val="000000"/>
        </w:rPr>
        <w:t>matèria</w:t>
      </w:r>
      <w:bookmarkStart w:id="0" w:name="_GoBack"/>
      <w:bookmarkEnd w:id="0"/>
      <w:r>
        <w:rPr>
          <w:rFonts w:ascii="Arial" w:eastAsia="Arial" w:hAnsi="Arial" w:cs="Arial"/>
          <w:color w:val="000000"/>
        </w:rPr>
        <w:t xml:space="preserve"> de seguretat i salut laboral.</w:t>
      </w:r>
    </w:p>
    <w:p w:rsidR="005D47C0" w:rsidRPr="005D47C0" w:rsidRDefault="005D47C0" w:rsidP="005D47C0">
      <w:pPr>
        <w:pBdr>
          <w:top w:val="nil"/>
          <w:left w:val="nil"/>
          <w:bottom w:val="nil"/>
          <w:right w:val="nil"/>
          <w:between w:val="nil"/>
        </w:pBdr>
        <w:spacing w:after="0"/>
        <w:ind w:left="360"/>
        <w:jc w:val="both"/>
        <w:rPr>
          <w:rFonts w:ascii="Arial" w:eastAsia="Arial" w:hAnsi="Arial" w:cs="Arial"/>
          <w:b/>
          <w:color w:val="000000"/>
        </w:rPr>
      </w:pPr>
    </w:p>
    <w:p w:rsidR="00210B0C" w:rsidRPr="005D47C0" w:rsidRDefault="00210B0C">
      <w:pPr>
        <w:spacing w:after="0"/>
        <w:jc w:val="both"/>
        <w:rPr>
          <w:rFonts w:ascii="Arial" w:eastAsia="Arial" w:hAnsi="Arial" w:cs="Arial"/>
          <w:b/>
        </w:rPr>
      </w:pPr>
    </w:p>
    <w:p w:rsidR="00210B0C" w:rsidRPr="005D47C0" w:rsidRDefault="005D47C0">
      <w:pPr>
        <w:numPr>
          <w:ilvl w:val="0"/>
          <w:numId w:val="1"/>
        </w:numPr>
        <w:pBdr>
          <w:top w:val="nil"/>
          <w:left w:val="nil"/>
          <w:bottom w:val="nil"/>
          <w:right w:val="nil"/>
          <w:between w:val="nil"/>
        </w:pBdr>
        <w:spacing w:after="0"/>
        <w:jc w:val="both"/>
        <w:rPr>
          <w:rFonts w:ascii="Arial" w:eastAsia="Arial" w:hAnsi="Arial" w:cs="Arial"/>
          <w:b/>
          <w:color w:val="000000"/>
        </w:rPr>
      </w:pPr>
      <w:r w:rsidRPr="005D47C0">
        <w:rPr>
          <w:rFonts w:ascii="Arial" w:eastAsia="Arial" w:hAnsi="Arial" w:cs="Arial"/>
          <w:b/>
          <w:color w:val="000000"/>
        </w:rPr>
        <w:t>Amb quina frase estàs més d’acord: “la PRL és un cost” o  “La PRL és una inversió”.</w:t>
      </w:r>
      <w:r w:rsidRPr="005D47C0">
        <w:rPr>
          <w:rFonts w:ascii="Arial" w:eastAsia="Arial" w:hAnsi="Arial" w:cs="Arial"/>
          <w:b/>
        </w:rPr>
        <w:t xml:space="preserve"> Argumenta la teva resposta</w:t>
      </w:r>
    </w:p>
    <w:p w:rsidR="005D47C0" w:rsidRDefault="005D47C0" w:rsidP="005D47C0">
      <w:pPr>
        <w:pBdr>
          <w:top w:val="nil"/>
          <w:left w:val="nil"/>
          <w:bottom w:val="nil"/>
          <w:right w:val="nil"/>
          <w:between w:val="nil"/>
        </w:pBdr>
        <w:spacing w:after="0"/>
        <w:ind w:left="360"/>
        <w:jc w:val="both"/>
        <w:rPr>
          <w:rFonts w:ascii="Arial" w:eastAsia="Arial" w:hAnsi="Arial" w:cs="Arial"/>
          <w:b/>
          <w:color w:val="000000"/>
        </w:rPr>
      </w:pPr>
    </w:p>
    <w:p w:rsidR="005D47C0" w:rsidRPr="005D47C0" w:rsidRDefault="005D47C0" w:rsidP="005D47C0">
      <w:pPr>
        <w:pBdr>
          <w:top w:val="nil"/>
          <w:left w:val="nil"/>
          <w:bottom w:val="nil"/>
          <w:right w:val="nil"/>
          <w:between w:val="nil"/>
        </w:pBdr>
        <w:spacing w:after="0"/>
        <w:ind w:left="360"/>
        <w:jc w:val="both"/>
        <w:rPr>
          <w:rFonts w:ascii="Arial" w:eastAsia="Arial" w:hAnsi="Arial" w:cs="Arial"/>
          <w:color w:val="000000"/>
        </w:rPr>
      </w:pPr>
      <w:r>
        <w:rPr>
          <w:rFonts w:ascii="Arial" w:eastAsia="Arial" w:hAnsi="Arial" w:cs="Arial"/>
          <w:color w:val="000000"/>
        </w:rPr>
        <w:t>La PRL es una inversió. Formar els treballadors i proporcionar els materials, eines, i espai de treball correcte, es un cost que pot estalviar diners en el futur i salvar vides.</w:t>
      </w:r>
    </w:p>
    <w:p w:rsidR="00210B0C" w:rsidRPr="005D47C0" w:rsidRDefault="00210B0C">
      <w:pPr>
        <w:spacing w:after="0"/>
        <w:jc w:val="both"/>
        <w:rPr>
          <w:rFonts w:ascii="Arial" w:eastAsia="Arial" w:hAnsi="Arial" w:cs="Arial"/>
          <w:b/>
        </w:rPr>
      </w:pPr>
    </w:p>
    <w:p w:rsidR="00210B0C" w:rsidRDefault="005D47C0">
      <w:pPr>
        <w:numPr>
          <w:ilvl w:val="0"/>
          <w:numId w:val="1"/>
        </w:numPr>
        <w:pBdr>
          <w:top w:val="nil"/>
          <w:left w:val="nil"/>
          <w:bottom w:val="nil"/>
          <w:right w:val="nil"/>
          <w:between w:val="nil"/>
        </w:pBdr>
        <w:spacing w:after="0"/>
        <w:jc w:val="both"/>
        <w:rPr>
          <w:rFonts w:ascii="Arial" w:eastAsia="Arial" w:hAnsi="Arial" w:cs="Arial"/>
          <w:b/>
          <w:color w:val="000000"/>
        </w:rPr>
      </w:pPr>
      <w:r w:rsidRPr="005D47C0">
        <w:rPr>
          <w:rFonts w:ascii="Arial" w:eastAsia="Arial" w:hAnsi="Arial" w:cs="Arial"/>
          <w:b/>
          <w:color w:val="000000"/>
        </w:rPr>
        <w:t>Creus que els factors psicosocials (condicions precàries de treball, contractes temporals, poc remunerats</w:t>
      </w:r>
      <w:r w:rsidRPr="005D47C0">
        <w:rPr>
          <w:rFonts w:ascii="Arial" w:eastAsia="Arial" w:hAnsi="Arial" w:cs="Arial"/>
          <w:b/>
        </w:rPr>
        <w:t>...)</w:t>
      </w:r>
      <w:r w:rsidRPr="005D47C0">
        <w:rPr>
          <w:rFonts w:ascii="Arial" w:eastAsia="Arial" w:hAnsi="Arial" w:cs="Arial"/>
          <w:b/>
          <w:color w:val="000000"/>
        </w:rPr>
        <w:t xml:space="preserve"> influeixen en la sinistralitat lab</w:t>
      </w:r>
      <w:r>
        <w:rPr>
          <w:rFonts w:ascii="Arial" w:eastAsia="Arial" w:hAnsi="Arial" w:cs="Arial"/>
          <w:b/>
          <w:color w:val="000000"/>
        </w:rPr>
        <w:t>oral?</w:t>
      </w:r>
    </w:p>
    <w:p w:rsidR="005D47C0" w:rsidRDefault="005D47C0" w:rsidP="005D47C0">
      <w:pPr>
        <w:pBdr>
          <w:top w:val="nil"/>
          <w:left w:val="nil"/>
          <w:bottom w:val="nil"/>
          <w:right w:val="nil"/>
          <w:between w:val="nil"/>
        </w:pBdr>
        <w:spacing w:after="0"/>
        <w:ind w:left="360"/>
        <w:jc w:val="both"/>
        <w:rPr>
          <w:rFonts w:ascii="Arial" w:eastAsia="Arial" w:hAnsi="Arial" w:cs="Arial"/>
          <w:b/>
          <w:color w:val="000000"/>
        </w:rPr>
      </w:pPr>
    </w:p>
    <w:p w:rsidR="005D47C0" w:rsidRPr="005D47C0" w:rsidRDefault="005D47C0" w:rsidP="005D47C0">
      <w:pPr>
        <w:pBdr>
          <w:top w:val="nil"/>
          <w:left w:val="nil"/>
          <w:bottom w:val="nil"/>
          <w:right w:val="nil"/>
          <w:between w:val="nil"/>
        </w:pBdr>
        <w:spacing w:after="0"/>
        <w:ind w:left="360"/>
        <w:jc w:val="both"/>
        <w:rPr>
          <w:rFonts w:ascii="Arial" w:eastAsia="Arial" w:hAnsi="Arial" w:cs="Arial"/>
          <w:color w:val="000000"/>
        </w:rPr>
      </w:pPr>
      <w:r>
        <w:rPr>
          <w:rFonts w:ascii="Arial" w:eastAsia="Arial" w:hAnsi="Arial" w:cs="Arial"/>
          <w:color w:val="000000"/>
        </w:rPr>
        <w:t>Si. La precarietat tant dins com fora de la feina afecta a la sinistralitat laboral. Treballs poc remunerats, contractes temporals i condicions precàries son aspectes que influeixen en el dia a dia dels treballadors i pot afectar tant a la seva motivació, com productivitat així també com a l’atenció i cura en el treball.</w:t>
      </w:r>
    </w:p>
    <w:p w:rsidR="00210B0C" w:rsidRPr="005D47C0" w:rsidRDefault="00210B0C">
      <w:pPr>
        <w:spacing w:after="0"/>
        <w:jc w:val="both"/>
        <w:rPr>
          <w:rFonts w:ascii="Arial" w:eastAsia="Arial" w:hAnsi="Arial" w:cs="Arial"/>
          <w:b/>
        </w:rPr>
      </w:pPr>
    </w:p>
    <w:p w:rsidR="00210B0C" w:rsidRDefault="005D47C0">
      <w:pPr>
        <w:numPr>
          <w:ilvl w:val="0"/>
          <w:numId w:val="1"/>
        </w:numPr>
        <w:pBdr>
          <w:top w:val="nil"/>
          <w:left w:val="nil"/>
          <w:bottom w:val="nil"/>
          <w:right w:val="nil"/>
          <w:between w:val="nil"/>
        </w:pBdr>
        <w:spacing w:after="0"/>
        <w:jc w:val="both"/>
        <w:rPr>
          <w:rFonts w:ascii="Arial" w:eastAsia="Arial" w:hAnsi="Arial" w:cs="Arial"/>
          <w:b/>
          <w:color w:val="000000"/>
        </w:rPr>
      </w:pPr>
      <w:r w:rsidRPr="005D47C0">
        <w:rPr>
          <w:rFonts w:ascii="Arial" w:eastAsia="Arial" w:hAnsi="Arial" w:cs="Arial"/>
          <w:b/>
          <w:color w:val="000000"/>
        </w:rPr>
        <w:t xml:space="preserve">Totes les Malalties ocorregudes </w:t>
      </w:r>
      <w:r w:rsidRPr="005D47C0">
        <w:rPr>
          <w:rFonts w:ascii="Arial" w:eastAsia="Arial" w:hAnsi="Arial" w:cs="Arial"/>
          <w:b/>
        </w:rPr>
        <w:t>a conseqüència</w:t>
      </w:r>
      <w:r w:rsidRPr="005D47C0">
        <w:rPr>
          <w:rFonts w:ascii="Arial" w:eastAsia="Arial" w:hAnsi="Arial" w:cs="Arial"/>
          <w:b/>
          <w:color w:val="000000"/>
        </w:rPr>
        <w:t xml:space="preserve"> del treball </w:t>
      </w:r>
      <w:r w:rsidRPr="005D47C0">
        <w:rPr>
          <w:rFonts w:ascii="Arial" w:eastAsia="Arial" w:hAnsi="Arial" w:cs="Arial"/>
          <w:b/>
        </w:rPr>
        <w:t>són</w:t>
      </w:r>
      <w:r w:rsidRPr="005D47C0">
        <w:rPr>
          <w:rFonts w:ascii="Arial" w:eastAsia="Arial" w:hAnsi="Arial" w:cs="Arial"/>
          <w:b/>
          <w:color w:val="000000"/>
        </w:rPr>
        <w:t xml:space="preserve"> reconegudes </w:t>
      </w:r>
      <w:r w:rsidRPr="005D47C0">
        <w:rPr>
          <w:rFonts w:ascii="Arial" w:eastAsia="Arial" w:hAnsi="Arial" w:cs="Arial"/>
          <w:b/>
        </w:rPr>
        <w:t>com a</w:t>
      </w:r>
      <w:r w:rsidRPr="005D47C0">
        <w:rPr>
          <w:rFonts w:ascii="Arial" w:eastAsia="Arial" w:hAnsi="Arial" w:cs="Arial"/>
          <w:b/>
          <w:color w:val="000000"/>
        </w:rPr>
        <w:t xml:space="preserve"> Malaltia Professional? Quins requisits s’han de donar? </w:t>
      </w:r>
    </w:p>
    <w:p w:rsidR="00413662" w:rsidRDefault="00413662" w:rsidP="00413662">
      <w:pPr>
        <w:pBdr>
          <w:top w:val="nil"/>
          <w:left w:val="nil"/>
          <w:bottom w:val="nil"/>
          <w:right w:val="nil"/>
          <w:between w:val="nil"/>
        </w:pBdr>
        <w:spacing w:after="0"/>
        <w:ind w:left="360"/>
        <w:jc w:val="both"/>
        <w:rPr>
          <w:rFonts w:ascii="Arial" w:eastAsia="Arial" w:hAnsi="Arial" w:cs="Arial"/>
          <w:b/>
          <w:color w:val="000000"/>
        </w:rPr>
      </w:pPr>
    </w:p>
    <w:p w:rsidR="00413662" w:rsidRPr="00413662" w:rsidRDefault="00413662" w:rsidP="00413662">
      <w:pPr>
        <w:pBdr>
          <w:top w:val="nil"/>
          <w:left w:val="nil"/>
          <w:bottom w:val="nil"/>
          <w:right w:val="nil"/>
          <w:between w:val="nil"/>
        </w:pBdr>
        <w:spacing w:after="0"/>
        <w:ind w:left="360"/>
        <w:jc w:val="both"/>
        <w:rPr>
          <w:rFonts w:ascii="Arial" w:eastAsia="Arial" w:hAnsi="Arial" w:cs="Arial"/>
          <w:color w:val="000000"/>
        </w:rPr>
      </w:pPr>
      <w:r>
        <w:rPr>
          <w:rFonts w:ascii="Arial" w:eastAsia="Arial" w:hAnsi="Arial" w:cs="Arial"/>
          <w:color w:val="000000"/>
        </w:rPr>
        <w:t>No, no totes. Només es consideren malalties professionals les que estan reconegudes en el llistat oficial de malalties professionals, si tenen relació directa amb el treball i les activitats que estiguin incloses en el quadre segons decret reial.</w:t>
      </w:r>
    </w:p>
    <w:p w:rsidR="00210B0C" w:rsidRDefault="00210B0C">
      <w:pPr>
        <w:pBdr>
          <w:top w:val="nil"/>
          <w:left w:val="nil"/>
          <w:bottom w:val="nil"/>
          <w:right w:val="nil"/>
          <w:between w:val="nil"/>
        </w:pBdr>
        <w:spacing w:after="0"/>
        <w:ind w:left="720"/>
        <w:jc w:val="both"/>
        <w:rPr>
          <w:rFonts w:ascii="Arial" w:eastAsia="Arial" w:hAnsi="Arial" w:cs="Arial"/>
          <w:color w:val="000000"/>
        </w:rPr>
      </w:pPr>
    </w:p>
    <w:p w:rsidR="00210B0C" w:rsidRDefault="00210B0C">
      <w:pPr>
        <w:spacing w:after="0"/>
        <w:jc w:val="both"/>
        <w:rPr>
          <w:rFonts w:ascii="Arial" w:eastAsia="Arial" w:hAnsi="Arial" w:cs="Arial"/>
        </w:rPr>
      </w:pPr>
    </w:p>
    <w:sectPr w:rsidR="00210B0C">
      <w:headerReference w:type="default" r:id="rId9"/>
      <w:footerReference w:type="default" r:id="rId10"/>
      <w:pgSz w:w="11906" w:h="16838"/>
      <w:pgMar w:top="1700"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5FE" w:rsidRDefault="00C725FE">
      <w:pPr>
        <w:spacing w:after="0" w:line="240" w:lineRule="auto"/>
      </w:pPr>
      <w:r>
        <w:separator/>
      </w:r>
    </w:p>
  </w:endnote>
  <w:endnote w:type="continuationSeparator" w:id="0">
    <w:p w:rsidR="00C725FE" w:rsidRDefault="00C7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Euphemi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7C0" w:rsidRDefault="005D47C0">
    <w:pPr>
      <w:widowControl w:val="0"/>
      <w:pBdr>
        <w:top w:val="nil"/>
        <w:left w:val="nil"/>
        <w:bottom w:val="nil"/>
        <w:right w:val="nil"/>
        <w:between w:val="nil"/>
      </w:pBdr>
      <w:spacing w:after="0" w:line="276" w:lineRule="auto"/>
      <w:rPr>
        <w:rFonts w:ascii="Helvetica Neue" w:eastAsia="Helvetica Neue" w:hAnsi="Helvetica Neue" w:cs="Helvetica Neue"/>
        <w:sz w:val="24"/>
        <w:szCs w:val="24"/>
      </w:rPr>
    </w:pPr>
  </w:p>
  <w:tbl>
    <w:tblPr>
      <w:tblStyle w:val="a4"/>
      <w:tblW w:w="8492"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982"/>
      <w:gridCol w:w="5250"/>
      <w:gridCol w:w="1260"/>
    </w:tblGrid>
    <w:tr w:rsidR="005D47C0">
      <w:trPr>
        <w:trHeight w:val="285"/>
      </w:trPr>
      <w:tc>
        <w:tcPr>
          <w:tcW w:w="1982" w:type="dxa"/>
          <w:vMerge w:val="restart"/>
          <w:vAlign w:val="center"/>
        </w:tcPr>
        <w:p w:rsidR="005D47C0" w:rsidRDefault="005D47C0">
          <w:pPr>
            <w:tabs>
              <w:tab w:val="center" w:pos="4252"/>
              <w:tab w:val="right" w:pos="8504"/>
            </w:tabs>
            <w:spacing w:line="240" w:lineRule="auto"/>
            <w:ind w:right="-108"/>
            <w:jc w:val="center"/>
            <w:rPr>
              <w:sz w:val="16"/>
              <w:szCs w:val="16"/>
            </w:rPr>
          </w:pPr>
          <w:r>
            <w:rPr>
              <w:noProof/>
              <w:color w:val="000000"/>
              <w:lang w:val="es-ES"/>
            </w:rPr>
            <w:drawing>
              <wp:inline distT="0" distB="0" distL="114300" distR="114300">
                <wp:extent cx="1121410" cy="4159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21410" cy="415925"/>
                        </a:xfrm>
                        <a:prstGeom prst="rect">
                          <a:avLst/>
                        </a:prstGeom>
                        <a:ln/>
                      </pic:spPr>
                    </pic:pic>
                  </a:graphicData>
                </a:graphic>
              </wp:inline>
            </w:drawing>
          </w:r>
        </w:p>
      </w:tc>
      <w:tc>
        <w:tcPr>
          <w:tcW w:w="5250" w:type="dxa"/>
          <w:vAlign w:val="center"/>
        </w:tcPr>
        <w:p w:rsidR="005D47C0" w:rsidRDefault="005D47C0">
          <w:pPr>
            <w:tabs>
              <w:tab w:val="center" w:pos="4252"/>
              <w:tab w:val="right" w:pos="8504"/>
            </w:tabs>
            <w:spacing w:line="240" w:lineRule="auto"/>
            <w:ind w:right="360"/>
            <w:jc w:val="both"/>
            <w:rPr>
              <w:sz w:val="16"/>
              <w:szCs w:val="16"/>
              <w:highlight w:val="yellow"/>
            </w:rPr>
          </w:pPr>
        </w:p>
      </w:tc>
      <w:tc>
        <w:tcPr>
          <w:tcW w:w="1260" w:type="dxa"/>
          <w:vAlign w:val="center"/>
        </w:tcPr>
        <w:p w:rsidR="005D47C0" w:rsidRDefault="005D47C0">
          <w:pPr>
            <w:tabs>
              <w:tab w:val="center" w:pos="4252"/>
              <w:tab w:val="right" w:pos="8504"/>
            </w:tabs>
            <w:spacing w:line="240" w:lineRule="auto"/>
            <w:ind w:right="360"/>
            <w:jc w:val="both"/>
            <w:rPr>
              <w:sz w:val="16"/>
              <w:szCs w:val="16"/>
            </w:rPr>
          </w:pPr>
          <w:r>
            <w:rPr>
              <w:sz w:val="16"/>
              <w:szCs w:val="16"/>
            </w:rPr>
            <w:t>Versió 00</w:t>
          </w:r>
        </w:p>
      </w:tc>
    </w:tr>
    <w:tr w:rsidR="005D47C0">
      <w:trPr>
        <w:trHeight w:val="305"/>
      </w:trPr>
      <w:tc>
        <w:tcPr>
          <w:tcW w:w="1982" w:type="dxa"/>
          <w:vMerge/>
          <w:vAlign w:val="center"/>
        </w:tcPr>
        <w:p w:rsidR="005D47C0" w:rsidRDefault="005D47C0">
          <w:pPr>
            <w:widowControl w:val="0"/>
            <w:pBdr>
              <w:top w:val="nil"/>
              <w:left w:val="nil"/>
              <w:bottom w:val="nil"/>
              <w:right w:val="nil"/>
              <w:between w:val="nil"/>
            </w:pBdr>
            <w:spacing w:after="0" w:line="276" w:lineRule="auto"/>
            <w:rPr>
              <w:sz w:val="16"/>
              <w:szCs w:val="16"/>
            </w:rPr>
          </w:pPr>
        </w:p>
      </w:tc>
      <w:tc>
        <w:tcPr>
          <w:tcW w:w="5250" w:type="dxa"/>
          <w:vAlign w:val="center"/>
        </w:tcPr>
        <w:p w:rsidR="005D47C0" w:rsidRDefault="005D47C0">
          <w:pPr>
            <w:tabs>
              <w:tab w:val="center" w:pos="4252"/>
              <w:tab w:val="right" w:pos="8504"/>
            </w:tabs>
            <w:spacing w:line="240" w:lineRule="auto"/>
            <w:ind w:right="360"/>
            <w:jc w:val="both"/>
            <w:rPr>
              <w:sz w:val="16"/>
              <w:szCs w:val="16"/>
              <w:highlight w:val="yellow"/>
            </w:rPr>
          </w:pPr>
        </w:p>
      </w:tc>
      <w:tc>
        <w:tcPr>
          <w:tcW w:w="1260" w:type="dxa"/>
          <w:vAlign w:val="center"/>
        </w:tcPr>
        <w:p w:rsidR="005D47C0" w:rsidRDefault="005D47C0">
          <w:pPr>
            <w:tabs>
              <w:tab w:val="center" w:pos="4252"/>
              <w:tab w:val="right" w:pos="8504"/>
            </w:tabs>
            <w:spacing w:line="240" w:lineRule="auto"/>
            <w:ind w:right="360"/>
            <w:jc w:val="both"/>
          </w:pPr>
          <w:r>
            <w:rPr>
              <w:sz w:val="16"/>
              <w:szCs w:val="16"/>
            </w:rPr>
            <w:t xml:space="preserve">Pàgina </w:t>
          </w:r>
          <w:r>
            <w:rPr>
              <w:sz w:val="16"/>
              <w:szCs w:val="16"/>
            </w:rPr>
            <w:fldChar w:fldCharType="begin"/>
          </w:r>
          <w:r>
            <w:rPr>
              <w:sz w:val="16"/>
              <w:szCs w:val="16"/>
            </w:rPr>
            <w:instrText>PAGE</w:instrText>
          </w:r>
          <w:r>
            <w:rPr>
              <w:sz w:val="16"/>
              <w:szCs w:val="16"/>
            </w:rPr>
            <w:fldChar w:fldCharType="separate"/>
          </w:r>
          <w:r w:rsidR="00ED1994">
            <w:rPr>
              <w:noProof/>
              <w:sz w:val="16"/>
              <w:szCs w:val="16"/>
            </w:rPr>
            <w:t>2</w:t>
          </w:r>
          <w:r>
            <w:rPr>
              <w:sz w:val="16"/>
              <w:szCs w:val="16"/>
            </w:rPr>
            <w:fldChar w:fldCharType="end"/>
          </w:r>
          <w:r>
            <w:rPr>
              <w:sz w:val="16"/>
              <w:szCs w:val="16"/>
            </w:rPr>
            <w:t xml:space="preserve"> de </w:t>
          </w:r>
          <w:r>
            <w:rPr>
              <w:sz w:val="16"/>
              <w:szCs w:val="16"/>
            </w:rPr>
            <w:fldChar w:fldCharType="begin"/>
          </w:r>
          <w:r>
            <w:rPr>
              <w:sz w:val="16"/>
              <w:szCs w:val="16"/>
            </w:rPr>
            <w:instrText>NUMPAGES</w:instrText>
          </w:r>
          <w:r>
            <w:rPr>
              <w:sz w:val="16"/>
              <w:szCs w:val="16"/>
            </w:rPr>
            <w:fldChar w:fldCharType="separate"/>
          </w:r>
          <w:r w:rsidR="00ED1994">
            <w:rPr>
              <w:noProof/>
              <w:sz w:val="16"/>
              <w:szCs w:val="16"/>
            </w:rPr>
            <w:t>2</w:t>
          </w:r>
          <w:r>
            <w:rPr>
              <w:sz w:val="16"/>
              <w:szCs w:val="16"/>
            </w:rPr>
            <w:fldChar w:fldCharType="end"/>
          </w:r>
        </w:p>
        <w:p w:rsidR="005D47C0" w:rsidRDefault="005D47C0">
          <w:pPr>
            <w:tabs>
              <w:tab w:val="center" w:pos="4252"/>
              <w:tab w:val="right" w:pos="8504"/>
            </w:tabs>
            <w:spacing w:line="240" w:lineRule="auto"/>
            <w:ind w:right="360"/>
            <w:jc w:val="both"/>
          </w:pPr>
        </w:p>
      </w:tc>
    </w:tr>
  </w:tbl>
  <w:p w:rsidR="005D47C0" w:rsidRDefault="005D47C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5FE" w:rsidRDefault="00C725FE">
      <w:pPr>
        <w:spacing w:after="0" w:line="240" w:lineRule="auto"/>
      </w:pPr>
      <w:r>
        <w:separator/>
      </w:r>
    </w:p>
  </w:footnote>
  <w:footnote w:type="continuationSeparator" w:id="0">
    <w:p w:rsidR="00C725FE" w:rsidRDefault="00C72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7C0" w:rsidRDefault="005D47C0">
    <w:pPr>
      <w:tabs>
        <w:tab w:val="center" w:pos="4252"/>
        <w:tab w:val="right" w:pos="8504"/>
      </w:tabs>
      <w:spacing w:line="240" w:lineRule="auto"/>
      <w:rPr>
        <w:rFonts w:ascii="Helvetica Neue" w:eastAsia="Helvetica Neue" w:hAnsi="Helvetica Neue" w:cs="Helvetica Neue"/>
        <w:sz w:val="24"/>
        <w:szCs w:val="24"/>
      </w:rPr>
    </w:pPr>
  </w:p>
  <w:tbl>
    <w:tblPr>
      <w:tblStyle w:val="a3"/>
      <w:tblW w:w="9510"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3510"/>
      <w:gridCol w:w="4140"/>
      <w:gridCol w:w="1860"/>
    </w:tblGrid>
    <w:tr w:rsidR="005D47C0">
      <w:trPr>
        <w:trHeight w:val="443"/>
        <w:jc w:val="center"/>
      </w:trPr>
      <w:tc>
        <w:tcPr>
          <w:tcW w:w="3510" w:type="dxa"/>
          <w:vMerge w:val="restart"/>
        </w:tcPr>
        <w:p w:rsidR="005D47C0" w:rsidRDefault="005D47C0">
          <w:pPr>
            <w:pBdr>
              <w:top w:val="nil"/>
              <w:left w:val="nil"/>
              <w:bottom w:val="nil"/>
              <w:right w:val="nil"/>
              <w:between w:val="nil"/>
            </w:pBdr>
            <w:tabs>
              <w:tab w:val="center" w:pos="4252"/>
              <w:tab w:val="right" w:pos="8504"/>
            </w:tabs>
            <w:rPr>
              <w:b/>
              <w:color w:val="6FA8DC"/>
              <w:sz w:val="38"/>
              <w:szCs w:val="38"/>
            </w:rPr>
          </w:pPr>
          <w:r>
            <w:rPr>
              <w:rFonts w:ascii="Arial" w:eastAsia="Arial" w:hAnsi="Arial" w:cs="Arial"/>
              <w:color w:val="6FA8DC"/>
              <w:sz w:val="20"/>
              <w:szCs w:val="20"/>
            </w:rPr>
            <w:t> </w:t>
          </w:r>
          <w:r>
            <w:rPr>
              <w:rFonts w:ascii="Helvetica Neue" w:eastAsia="Helvetica Neue" w:hAnsi="Helvetica Neue" w:cs="Helvetica Neue"/>
              <w:color w:val="6FA8DC"/>
              <w:sz w:val="24"/>
              <w:szCs w:val="24"/>
            </w:rPr>
            <w:t xml:space="preserve"> </w:t>
          </w:r>
          <w:r>
            <w:rPr>
              <w:rFonts w:ascii="Helvetica Neue" w:eastAsia="Helvetica Neue" w:hAnsi="Helvetica Neue" w:cs="Helvetica Neue"/>
              <w:b/>
              <w:color w:val="6FA8DC"/>
              <w:sz w:val="40"/>
              <w:szCs w:val="40"/>
            </w:rPr>
            <w:t>Institut Sabadell</w:t>
          </w:r>
          <w:r>
            <w:rPr>
              <w:noProof/>
              <w:lang w:val="es-ES"/>
            </w:rPr>
            <w:drawing>
              <wp:anchor distT="0" distB="0" distL="114300" distR="114300" simplePos="0" relativeHeight="251658240" behindDoc="0" locked="0" layoutInCell="1" hidden="0" allowOverlap="1">
                <wp:simplePos x="0" y="0"/>
                <wp:positionH relativeFrom="column">
                  <wp:posOffset>-632</wp:posOffset>
                </wp:positionH>
                <wp:positionV relativeFrom="paragraph">
                  <wp:posOffset>0</wp:posOffset>
                </wp:positionV>
                <wp:extent cx="2162175" cy="409575"/>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162175" cy="409575"/>
                        </a:xfrm>
                        <a:prstGeom prst="rect">
                          <a:avLst/>
                        </a:prstGeom>
                        <a:ln/>
                      </pic:spPr>
                    </pic:pic>
                  </a:graphicData>
                </a:graphic>
              </wp:anchor>
            </w:drawing>
          </w:r>
        </w:p>
      </w:tc>
      <w:tc>
        <w:tcPr>
          <w:tcW w:w="4140" w:type="dxa"/>
          <w:vAlign w:val="center"/>
        </w:tcPr>
        <w:p w:rsidR="005D47C0" w:rsidRDefault="005D47C0">
          <w:pPr>
            <w:pBdr>
              <w:top w:val="nil"/>
              <w:left w:val="nil"/>
              <w:bottom w:val="nil"/>
              <w:right w:val="nil"/>
              <w:between w:val="nil"/>
            </w:pBdr>
            <w:tabs>
              <w:tab w:val="center" w:pos="4252"/>
              <w:tab w:val="right" w:pos="8504"/>
            </w:tabs>
            <w:jc w:val="center"/>
            <w:rPr>
              <w:rFonts w:ascii="Euphemia" w:eastAsia="Euphemia" w:hAnsi="Euphemia" w:cs="Euphemia"/>
              <w:color w:val="000000"/>
              <w:highlight w:val="white"/>
            </w:rPr>
          </w:pPr>
          <w:r>
            <w:rPr>
              <w:rFonts w:ascii="Euphemia" w:eastAsia="Euphemia" w:hAnsi="Euphemia" w:cs="Euphemia"/>
              <w:i/>
              <w:sz w:val="20"/>
              <w:szCs w:val="20"/>
              <w:highlight w:val="white"/>
            </w:rPr>
            <w:t xml:space="preserve">Departament informàtica </w:t>
          </w:r>
        </w:p>
      </w:tc>
      <w:tc>
        <w:tcPr>
          <w:tcW w:w="1860" w:type="dxa"/>
          <w:vMerge w:val="restart"/>
        </w:tcPr>
        <w:p w:rsidR="005D47C0" w:rsidRDefault="005D47C0">
          <w:pPr>
            <w:pBdr>
              <w:top w:val="nil"/>
              <w:left w:val="nil"/>
              <w:bottom w:val="nil"/>
              <w:right w:val="nil"/>
              <w:between w:val="nil"/>
            </w:pBdr>
            <w:tabs>
              <w:tab w:val="center" w:pos="4252"/>
              <w:tab w:val="right" w:pos="8504"/>
            </w:tabs>
            <w:jc w:val="right"/>
            <w:rPr>
              <w:rFonts w:ascii="Euphemia" w:eastAsia="Euphemia" w:hAnsi="Euphemia" w:cs="Euphemia"/>
              <w:sz w:val="20"/>
              <w:szCs w:val="20"/>
              <w:highlight w:val="white"/>
            </w:rPr>
          </w:pPr>
          <w:r>
            <w:rPr>
              <w:rFonts w:ascii="Euphemia" w:eastAsia="Euphemia" w:hAnsi="Euphemia" w:cs="Euphemia"/>
              <w:color w:val="000000"/>
              <w:sz w:val="20"/>
              <w:szCs w:val="20"/>
            </w:rPr>
            <w:t>Curs</w:t>
          </w:r>
          <w:r>
            <w:rPr>
              <w:rFonts w:ascii="Euphemia" w:eastAsia="Euphemia" w:hAnsi="Euphemia" w:cs="Euphemia"/>
              <w:color w:val="000000"/>
              <w:sz w:val="20"/>
              <w:szCs w:val="20"/>
              <w:highlight w:val="white"/>
            </w:rPr>
            <w:t xml:space="preserve"> 202</w:t>
          </w:r>
          <w:r>
            <w:rPr>
              <w:rFonts w:ascii="Euphemia" w:eastAsia="Euphemia" w:hAnsi="Euphemia" w:cs="Euphemia"/>
              <w:sz w:val="20"/>
              <w:szCs w:val="20"/>
              <w:highlight w:val="white"/>
            </w:rPr>
            <w:t>4-2025</w:t>
          </w:r>
        </w:p>
        <w:p w:rsidR="005D47C0" w:rsidRDefault="005D47C0">
          <w:pPr>
            <w:pBdr>
              <w:top w:val="nil"/>
              <w:left w:val="nil"/>
              <w:bottom w:val="nil"/>
              <w:right w:val="nil"/>
              <w:between w:val="nil"/>
            </w:pBdr>
            <w:tabs>
              <w:tab w:val="center" w:pos="4252"/>
              <w:tab w:val="right" w:pos="8504"/>
            </w:tabs>
            <w:jc w:val="right"/>
            <w:rPr>
              <w:rFonts w:ascii="Euphemia" w:eastAsia="Euphemia" w:hAnsi="Euphemia" w:cs="Euphemia"/>
              <w:sz w:val="20"/>
              <w:szCs w:val="20"/>
              <w:highlight w:val="white"/>
            </w:rPr>
          </w:pPr>
        </w:p>
      </w:tc>
    </w:tr>
    <w:tr w:rsidR="005D47C0">
      <w:trPr>
        <w:trHeight w:val="443"/>
        <w:jc w:val="center"/>
      </w:trPr>
      <w:tc>
        <w:tcPr>
          <w:tcW w:w="3510" w:type="dxa"/>
          <w:vMerge/>
        </w:tcPr>
        <w:p w:rsidR="005D47C0" w:rsidRDefault="005D47C0">
          <w:pPr>
            <w:widowControl w:val="0"/>
            <w:pBdr>
              <w:top w:val="nil"/>
              <w:left w:val="nil"/>
              <w:bottom w:val="nil"/>
              <w:right w:val="nil"/>
              <w:between w:val="nil"/>
            </w:pBdr>
            <w:spacing w:after="0" w:line="276" w:lineRule="auto"/>
            <w:rPr>
              <w:color w:val="000000"/>
              <w:sz w:val="20"/>
              <w:szCs w:val="20"/>
              <w:highlight w:val="white"/>
            </w:rPr>
          </w:pPr>
        </w:p>
      </w:tc>
      <w:tc>
        <w:tcPr>
          <w:tcW w:w="4140" w:type="dxa"/>
          <w:vMerge w:val="restart"/>
          <w:vAlign w:val="center"/>
        </w:tcPr>
        <w:p w:rsidR="005D47C0" w:rsidRDefault="005D47C0">
          <w:pPr>
            <w:jc w:val="center"/>
            <w:rPr>
              <w:i/>
              <w:sz w:val="24"/>
              <w:szCs w:val="24"/>
              <w:highlight w:val="white"/>
            </w:rPr>
          </w:pPr>
          <w:r>
            <w:rPr>
              <w:i/>
              <w:sz w:val="24"/>
              <w:szCs w:val="24"/>
              <w:highlight w:val="white"/>
            </w:rPr>
            <w:t>IPO I</w:t>
          </w:r>
        </w:p>
        <w:p w:rsidR="005D47C0" w:rsidRDefault="005D47C0">
          <w:pPr>
            <w:jc w:val="center"/>
            <w:rPr>
              <w:i/>
              <w:sz w:val="24"/>
              <w:szCs w:val="24"/>
              <w:highlight w:val="white"/>
            </w:rPr>
          </w:pPr>
          <w:r>
            <w:rPr>
              <w:i/>
              <w:sz w:val="24"/>
              <w:szCs w:val="24"/>
              <w:highlight w:val="white"/>
            </w:rPr>
            <w:t>BA 1 PRL</w:t>
          </w:r>
        </w:p>
      </w:tc>
      <w:tc>
        <w:tcPr>
          <w:tcW w:w="1860" w:type="dxa"/>
          <w:vMerge/>
        </w:tcPr>
        <w:p w:rsidR="005D47C0" w:rsidRDefault="005D47C0">
          <w:pPr>
            <w:widowControl w:val="0"/>
            <w:pBdr>
              <w:top w:val="nil"/>
              <w:left w:val="nil"/>
              <w:bottom w:val="nil"/>
              <w:right w:val="nil"/>
              <w:between w:val="nil"/>
            </w:pBdr>
            <w:spacing w:after="0" w:line="276" w:lineRule="auto"/>
            <w:rPr>
              <w:i/>
              <w:sz w:val="24"/>
              <w:szCs w:val="24"/>
              <w:highlight w:val="white"/>
            </w:rPr>
          </w:pPr>
        </w:p>
      </w:tc>
    </w:tr>
    <w:tr w:rsidR="005D47C0">
      <w:trPr>
        <w:trHeight w:val="624"/>
        <w:jc w:val="center"/>
      </w:trPr>
      <w:tc>
        <w:tcPr>
          <w:tcW w:w="3510" w:type="dxa"/>
          <w:vMerge/>
        </w:tcPr>
        <w:p w:rsidR="005D47C0" w:rsidRDefault="005D47C0">
          <w:pPr>
            <w:widowControl w:val="0"/>
            <w:pBdr>
              <w:top w:val="nil"/>
              <w:left w:val="nil"/>
              <w:bottom w:val="nil"/>
              <w:right w:val="nil"/>
              <w:between w:val="nil"/>
            </w:pBdr>
            <w:spacing w:after="0" w:line="276" w:lineRule="auto"/>
            <w:rPr>
              <w:i/>
              <w:sz w:val="24"/>
              <w:szCs w:val="24"/>
              <w:highlight w:val="white"/>
            </w:rPr>
          </w:pPr>
        </w:p>
      </w:tc>
      <w:tc>
        <w:tcPr>
          <w:tcW w:w="4140" w:type="dxa"/>
          <w:vMerge/>
          <w:vAlign w:val="center"/>
        </w:tcPr>
        <w:p w:rsidR="005D47C0" w:rsidRDefault="005D47C0">
          <w:pPr>
            <w:widowControl w:val="0"/>
            <w:pBdr>
              <w:top w:val="nil"/>
              <w:left w:val="nil"/>
              <w:bottom w:val="nil"/>
              <w:right w:val="nil"/>
              <w:between w:val="nil"/>
            </w:pBdr>
            <w:spacing w:after="0" w:line="276" w:lineRule="auto"/>
            <w:rPr>
              <w:i/>
              <w:sz w:val="24"/>
              <w:szCs w:val="24"/>
              <w:highlight w:val="white"/>
            </w:rPr>
          </w:pPr>
        </w:p>
      </w:tc>
      <w:tc>
        <w:tcPr>
          <w:tcW w:w="1860" w:type="dxa"/>
          <w:vMerge/>
        </w:tcPr>
        <w:p w:rsidR="005D47C0" w:rsidRDefault="005D47C0">
          <w:pPr>
            <w:widowControl w:val="0"/>
            <w:pBdr>
              <w:top w:val="nil"/>
              <w:left w:val="nil"/>
              <w:bottom w:val="nil"/>
              <w:right w:val="nil"/>
              <w:between w:val="nil"/>
            </w:pBdr>
            <w:spacing w:after="0" w:line="276" w:lineRule="auto"/>
            <w:rPr>
              <w:i/>
              <w:sz w:val="24"/>
              <w:szCs w:val="24"/>
              <w:highlight w:val="white"/>
            </w:rPr>
          </w:pPr>
        </w:p>
      </w:tc>
    </w:tr>
  </w:tbl>
  <w:p w:rsidR="005D47C0" w:rsidRDefault="005D47C0">
    <w:pPr>
      <w:tabs>
        <w:tab w:val="center" w:pos="4252"/>
        <w:tab w:val="right" w:pos="8504"/>
      </w:tabs>
      <w:spacing w:line="240" w:lineRule="auto"/>
      <w:ind w:hanging="720"/>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4520"/>
    <w:multiLevelType w:val="multilevel"/>
    <w:tmpl w:val="4C4C7C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E710CA8"/>
    <w:multiLevelType w:val="hybridMultilevel"/>
    <w:tmpl w:val="614E760A"/>
    <w:lvl w:ilvl="0" w:tplc="2E223CF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B0C"/>
    <w:rsid w:val="00210B0C"/>
    <w:rsid w:val="00413662"/>
    <w:rsid w:val="005D47C0"/>
    <w:rsid w:val="00C725FE"/>
    <w:rsid w:val="00ED19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CA98"/>
  <w15:docId w15:val="{45F8560D-E4FE-4CD3-A34E-FC904D92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ca-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308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0897"/>
  </w:style>
  <w:style w:type="paragraph" w:styleId="Piedepgina">
    <w:name w:val="footer"/>
    <w:basedOn w:val="Normal"/>
    <w:link w:val="PiedepginaCar"/>
    <w:uiPriority w:val="99"/>
    <w:unhideWhenUsed/>
    <w:rsid w:val="007308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0897"/>
  </w:style>
  <w:style w:type="paragraph" w:styleId="Prrafodelista">
    <w:name w:val="List Paragraph"/>
    <w:basedOn w:val="Normal"/>
    <w:uiPriority w:val="34"/>
    <w:qFormat/>
    <w:rsid w:val="00320F8D"/>
    <w:pPr>
      <w:ind w:left="720"/>
      <w:contextualSpacing/>
    </w:pPr>
  </w:style>
  <w:style w:type="table" w:styleId="Tablaconcuadrcula">
    <w:name w:val="Table Grid"/>
    <w:basedOn w:val="Tablanormal"/>
    <w:uiPriority w:val="39"/>
    <w:rsid w:val="000E3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10A6"/>
    <w:rPr>
      <w:color w:val="0000FF" w:themeColor="hyperlink"/>
      <w:u w:val="single"/>
    </w:rPr>
  </w:style>
  <w:style w:type="character" w:customStyle="1" w:styleId="UnresolvedMention">
    <w:name w:val="Unresolved Mention"/>
    <w:basedOn w:val="Fuentedeprrafopredeter"/>
    <w:uiPriority w:val="99"/>
    <w:semiHidden/>
    <w:unhideWhenUsed/>
    <w:rsid w:val="007A10A6"/>
    <w:rPr>
      <w:color w:val="605E5C"/>
      <w:shd w:val="clear" w:color="auto" w:fill="E1DFDD"/>
    </w:rPr>
  </w:style>
  <w:style w:type="character" w:styleId="Hipervnculovisitado">
    <w:name w:val="FollowedHyperlink"/>
    <w:basedOn w:val="Fuentedeprrafopredeter"/>
    <w:uiPriority w:val="99"/>
    <w:semiHidden/>
    <w:unhideWhenUsed/>
    <w:rsid w:val="007A10A6"/>
    <w:rPr>
      <w:color w:val="800080" w:themeColor="followedHyperlink"/>
      <w:u w:val="single"/>
    </w:rPr>
  </w:style>
  <w:style w:type="character" w:styleId="Textoennegrita">
    <w:name w:val="Strong"/>
    <w:basedOn w:val="Fuentedeprrafopredeter"/>
    <w:uiPriority w:val="22"/>
    <w:qFormat/>
    <w:rsid w:val="00260837"/>
    <w:rPr>
      <w:b/>
      <w:bCs/>
    </w:rPr>
  </w:style>
  <w:style w:type="character" w:styleId="nfasis">
    <w:name w:val="Emphasis"/>
    <w:basedOn w:val="Fuentedeprrafopredeter"/>
    <w:uiPriority w:val="20"/>
    <w:qFormat/>
    <w:rsid w:val="00260837"/>
    <w:rPr>
      <w:i/>
      <w:iCs/>
    </w:r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ve.es/play/videos/repor/ganarse-vida-perder-vida/57430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yRHX28u/MHLy+2w8K/ukQ0u20g==">CgMxLjA4AHIhMVdrekdKc2VHNmtJQlR2LTI5QmxKaEdoVExqTnFMUnVz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423</Words>
  <Characters>2331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Rumbo Alvarez</cp:lastModifiedBy>
  <cp:revision>4</cp:revision>
  <dcterms:created xsi:type="dcterms:W3CDTF">2024-01-24T17:32:00Z</dcterms:created>
  <dcterms:modified xsi:type="dcterms:W3CDTF">2024-10-29T19:20:00Z</dcterms:modified>
</cp:coreProperties>
</file>