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890C" w14:textId="53A67BAF" w:rsidR="00A52BF8" w:rsidRDefault="00A52BF8" w:rsidP="00EF48F5">
      <w:pPr>
        <w:pStyle w:val="ListParagraph"/>
        <w:numPr>
          <w:ilvl w:val="0"/>
          <w:numId w:val="2"/>
        </w:numPr>
      </w:pPr>
      <w:r>
        <w:t xml:space="preserve"> </w:t>
      </w:r>
    </w:p>
    <w:p w14:paraId="1F335EDD" w14:textId="0A3B46E3" w:rsidR="00A52BF8" w:rsidRDefault="00C03F43" w:rsidP="004B121C">
      <w:pPr>
        <w:pStyle w:val="ListParagraph"/>
        <w:numPr>
          <w:ilvl w:val="1"/>
          <w:numId w:val="2"/>
        </w:numPr>
      </w:pPr>
      <w:r>
        <w:t>I chose d</w:t>
      </w:r>
      <w:r w:rsidR="00FD446A">
        <w:t>ecision trees</w:t>
      </w:r>
      <w:r>
        <w:t xml:space="preserve"> and </w:t>
      </w:r>
      <w:r w:rsidR="00F156E1">
        <w:t>Support Vector Machines</w:t>
      </w:r>
      <w:r w:rsidR="00641300">
        <w:t xml:space="preserve">. I chose decision trees because </w:t>
      </w:r>
      <w:r w:rsidR="00F156E1">
        <w:t>I had familiarity with</w:t>
      </w:r>
      <w:r w:rsidR="00641300">
        <w:t xml:space="preserve"> them after we went over them in class. I read about support vector machines from assignment 1 and </w:t>
      </w:r>
      <w:r w:rsidR="008D0FE6">
        <w:t xml:space="preserve">became interested in them and it seemed like an algorithm with a lot of </w:t>
      </w:r>
      <w:r w:rsidR="001F324C">
        <w:t xml:space="preserve">parameters I could change. </w:t>
      </w:r>
      <w:r w:rsidR="00E60CAD">
        <w:t>They are also both good at classification problems</w:t>
      </w:r>
      <w:r w:rsidR="00090E2D">
        <w:t xml:space="preserve">. </w:t>
      </w:r>
      <w:r w:rsidR="005D6921">
        <w:t xml:space="preserve">SVMs </w:t>
      </w:r>
      <w:r w:rsidR="00C03304">
        <w:t>categorize text into separate groups and decision trees tell you which group a piece of data falls into</w:t>
      </w:r>
    </w:p>
    <w:p w14:paraId="7FC777E4" w14:textId="77777777" w:rsidR="00853133" w:rsidRDefault="00853133" w:rsidP="00A52BF8">
      <w:pPr>
        <w:pStyle w:val="ListParagraph"/>
        <w:numPr>
          <w:ilvl w:val="1"/>
          <w:numId w:val="2"/>
        </w:numPr>
      </w:pPr>
    </w:p>
    <w:p w14:paraId="1FA1F721" w14:textId="77777777" w:rsidR="00A52BF8" w:rsidRDefault="00A52BF8"/>
    <w:tbl>
      <w:tblPr>
        <w:tblStyle w:val="TableGrid"/>
        <w:tblW w:w="9679" w:type="dxa"/>
        <w:tblInd w:w="21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1"/>
        <w:gridCol w:w="1532"/>
        <w:gridCol w:w="1826"/>
        <w:gridCol w:w="1370"/>
        <w:gridCol w:w="1741"/>
        <w:gridCol w:w="1459"/>
      </w:tblGrid>
      <w:tr w:rsidR="00A52BF8" w14:paraId="42A541D8" w14:textId="77777777" w:rsidTr="0024677F">
        <w:tc>
          <w:tcPr>
            <w:tcW w:w="1817" w:type="dxa"/>
            <w:vAlign w:val="center"/>
          </w:tcPr>
          <w:p w14:paraId="089CE26B" w14:textId="77777777" w:rsidR="00A52BF8" w:rsidRPr="005474EB" w:rsidRDefault="00A52BF8" w:rsidP="006D31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Reported information</w:t>
            </w:r>
          </w:p>
        </w:tc>
        <w:tc>
          <w:tcPr>
            <w:tcW w:w="1592" w:type="dxa"/>
            <w:vAlign w:val="center"/>
          </w:tcPr>
          <w:p w14:paraId="05A6EABB" w14:textId="77777777" w:rsidR="00A52BF8" w:rsidRPr="005474EB" w:rsidRDefault="00A52BF8" w:rsidP="006D31C3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Test type</w:t>
            </w:r>
          </w:p>
        </w:tc>
        <w:tc>
          <w:tcPr>
            <w:tcW w:w="1518" w:type="dxa"/>
            <w:vAlign w:val="center"/>
          </w:tcPr>
          <w:p w14:paraId="6F87C2D3" w14:textId="77777777" w:rsidR="00A52BF8" w:rsidRPr="0053180A" w:rsidRDefault="00A52BF8" w:rsidP="006D31C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k-NN</w:t>
            </w:r>
          </w:p>
        </w:tc>
        <w:tc>
          <w:tcPr>
            <w:tcW w:w="1403" w:type="dxa"/>
            <w:vAlign w:val="center"/>
          </w:tcPr>
          <w:p w14:paraId="464A1003" w14:textId="77777777" w:rsidR="00A52BF8" w:rsidRPr="0053180A" w:rsidRDefault="00A52BF8" w:rsidP="006D31C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Logistic regression</w:t>
            </w:r>
          </w:p>
        </w:tc>
        <w:tc>
          <w:tcPr>
            <w:tcW w:w="1826" w:type="dxa"/>
            <w:vAlign w:val="center"/>
          </w:tcPr>
          <w:p w14:paraId="22552A91" w14:textId="48634169" w:rsidR="00A52BF8" w:rsidRPr="005474EB" w:rsidRDefault="007B1383" w:rsidP="006D31C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Decision Trees</w:t>
            </w:r>
          </w:p>
        </w:tc>
        <w:tc>
          <w:tcPr>
            <w:tcW w:w="1523" w:type="dxa"/>
            <w:vAlign w:val="center"/>
          </w:tcPr>
          <w:p w14:paraId="384ED099" w14:textId="2F7CCB23" w:rsidR="00A52BF8" w:rsidRPr="005474EB" w:rsidRDefault="00500748" w:rsidP="006D31C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Support Vector </w:t>
            </w:r>
            <w:r w:rsidR="008E1F49">
              <w:rPr>
                <w:sz w:val="22"/>
                <w:szCs w:val="22"/>
              </w:rPr>
              <w:t>Machine</w:t>
            </w:r>
          </w:p>
        </w:tc>
      </w:tr>
      <w:tr w:rsidR="00A52BF8" w14:paraId="4FED6CAF" w14:textId="77777777" w:rsidTr="0024677F">
        <w:tc>
          <w:tcPr>
            <w:tcW w:w="1817" w:type="dxa"/>
            <w:vMerge w:val="restart"/>
          </w:tcPr>
          <w:p w14:paraId="58DBC127" w14:textId="77777777" w:rsidR="00A52BF8" w:rsidRPr="005474EB" w:rsidRDefault="00A52BF8" w:rsidP="006D31C3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Accuracy with default parameters</w:t>
            </w:r>
          </w:p>
        </w:tc>
        <w:tc>
          <w:tcPr>
            <w:tcW w:w="1592" w:type="dxa"/>
          </w:tcPr>
          <w:p w14:paraId="018DCC2A" w14:textId="77777777" w:rsidR="00A52BF8" w:rsidRPr="005474EB" w:rsidRDefault="00A52BF8" w:rsidP="006D31C3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</w:tc>
        <w:tc>
          <w:tcPr>
            <w:tcW w:w="1518" w:type="dxa"/>
            <w:vAlign w:val="center"/>
          </w:tcPr>
          <w:p w14:paraId="37DE1650" w14:textId="4069F35C" w:rsidR="00A52BF8" w:rsidRPr="00F629EF" w:rsidRDefault="004E2A5D" w:rsidP="006D31C3">
            <w:pPr>
              <w:spacing w:line="200" w:lineRule="exact"/>
              <w:jc w:val="center"/>
              <w:rPr>
                <w:color w:val="70AD47" w:themeColor="accent6"/>
                <w:sz w:val="18"/>
                <w:szCs w:val="18"/>
              </w:rPr>
            </w:pPr>
            <w:r w:rsidRPr="00F629EF">
              <w:rPr>
                <w:color w:val="70AD47" w:themeColor="accent6"/>
                <w:sz w:val="18"/>
                <w:szCs w:val="18"/>
              </w:rPr>
              <w:t>9</w:t>
            </w:r>
            <w:r w:rsidR="007B1383" w:rsidRPr="00F629EF">
              <w:rPr>
                <w:color w:val="70AD47" w:themeColor="accent6"/>
                <w:sz w:val="18"/>
                <w:szCs w:val="18"/>
              </w:rPr>
              <w:t>2.37</w:t>
            </w:r>
            <w:r w:rsidR="000148B2" w:rsidRPr="00F629EF">
              <w:rPr>
                <w:color w:val="70AD47" w:themeColor="accent6"/>
                <w:sz w:val="18"/>
                <w:szCs w:val="18"/>
              </w:rPr>
              <w:t>%</w:t>
            </w:r>
          </w:p>
        </w:tc>
        <w:tc>
          <w:tcPr>
            <w:tcW w:w="1403" w:type="dxa"/>
          </w:tcPr>
          <w:p w14:paraId="5E0AD799" w14:textId="646ED458" w:rsidR="00A52BF8" w:rsidRPr="00F629EF" w:rsidRDefault="00F629EF" w:rsidP="006D31C3">
            <w:pPr>
              <w:jc w:val="center"/>
              <w:rPr>
                <w:color w:val="70AD47" w:themeColor="accent6"/>
                <w:sz w:val="18"/>
                <w:szCs w:val="18"/>
              </w:rPr>
            </w:pPr>
            <w:r w:rsidRPr="00F629EF">
              <w:rPr>
                <w:color w:val="70AD47" w:themeColor="accent6"/>
                <w:sz w:val="18"/>
                <w:szCs w:val="18"/>
              </w:rPr>
              <w:t>91.30%</w:t>
            </w:r>
          </w:p>
        </w:tc>
        <w:tc>
          <w:tcPr>
            <w:tcW w:w="1826" w:type="dxa"/>
          </w:tcPr>
          <w:p w14:paraId="60FDFA65" w14:textId="14282B7E" w:rsidR="00A52BF8" w:rsidRPr="00F629EF" w:rsidRDefault="006A2798" w:rsidP="006D31C3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91.39%</w:t>
            </w:r>
          </w:p>
        </w:tc>
        <w:tc>
          <w:tcPr>
            <w:tcW w:w="1523" w:type="dxa"/>
          </w:tcPr>
          <w:p w14:paraId="0A7BF187" w14:textId="779FD14B" w:rsidR="00A52BF8" w:rsidRPr="00F629EF" w:rsidRDefault="008E1F49" w:rsidP="006D31C3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90.71%</w:t>
            </w:r>
          </w:p>
        </w:tc>
      </w:tr>
      <w:tr w:rsidR="00A52BF8" w14:paraId="2132E561" w14:textId="77777777" w:rsidTr="0024677F">
        <w:tc>
          <w:tcPr>
            <w:tcW w:w="1817" w:type="dxa"/>
            <w:vMerge/>
          </w:tcPr>
          <w:p w14:paraId="626F4898" w14:textId="77777777" w:rsidR="00A52BF8" w:rsidRPr="005474EB" w:rsidRDefault="00A52BF8" w:rsidP="006D31C3">
            <w:pPr>
              <w:rPr>
                <w:sz w:val="22"/>
                <w:szCs w:val="22"/>
              </w:rPr>
            </w:pPr>
          </w:p>
        </w:tc>
        <w:tc>
          <w:tcPr>
            <w:tcW w:w="1592" w:type="dxa"/>
          </w:tcPr>
          <w:p w14:paraId="6240D2F2" w14:textId="77777777" w:rsidR="00A52BF8" w:rsidRPr="005474EB" w:rsidRDefault="00A52BF8" w:rsidP="006D31C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5474EB">
              <w:rPr>
                <w:sz w:val="22"/>
                <w:szCs w:val="22"/>
              </w:rPr>
              <w:t>0%</w:t>
            </w:r>
          </w:p>
        </w:tc>
        <w:tc>
          <w:tcPr>
            <w:tcW w:w="1518" w:type="dxa"/>
            <w:vAlign w:val="center"/>
          </w:tcPr>
          <w:p w14:paraId="6BE9850C" w14:textId="7963DCAA" w:rsidR="00A52BF8" w:rsidRPr="00F629EF" w:rsidRDefault="000148B2" w:rsidP="006D31C3">
            <w:pPr>
              <w:spacing w:line="200" w:lineRule="exact"/>
              <w:jc w:val="center"/>
              <w:rPr>
                <w:color w:val="70AD47" w:themeColor="accent6"/>
                <w:sz w:val="18"/>
                <w:szCs w:val="18"/>
              </w:rPr>
            </w:pPr>
            <w:r w:rsidRPr="00F629EF">
              <w:rPr>
                <w:color w:val="70AD47" w:themeColor="accent6"/>
                <w:sz w:val="18"/>
                <w:szCs w:val="18"/>
              </w:rPr>
              <w:t>90.77%</w:t>
            </w:r>
          </w:p>
        </w:tc>
        <w:tc>
          <w:tcPr>
            <w:tcW w:w="1403" w:type="dxa"/>
          </w:tcPr>
          <w:p w14:paraId="78A21637" w14:textId="75467F31" w:rsidR="00A52BF8" w:rsidRPr="00F629EF" w:rsidRDefault="004312FC" w:rsidP="006D31C3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90.79%</w:t>
            </w:r>
          </w:p>
        </w:tc>
        <w:tc>
          <w:tcPr>
            <w:tcW w:w="1826" w:type="dxa"/>
          </w:tcPr>
          <w:p w14:paraId="7D3B3BBB" w14:textId="6233F895" w:rsidR="00A52BF8" w:rsidRPr="00F629EF" w:rsidRDefault="00920CD8" w:rsidP="006D31C3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90.58%</w:t>
            </w:r>
          </w:p>
        </w:tc>
        <w:tc>
          <w:tcPr>
            <w:tcW w:w="1523" w:type="dxa"/>
          </w:tcPr>
          <w:p w14:paraId="646F6998" w14:textId="2204264C" w:rsidR="00A52BF8" w:rsidRPr="00F629EF" w:rsidRDefault="00DC30CB" w:rsidP="006D31C3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90.83%</w:t>
            </w:r>
          </w:p>
        </w:tc>
      </w:tr>
      <w:tr w:rsidR="00A52BF8" w14:paraId="7AC263EC" w14:textId="77777777" w:rsidTr="0024677F">
        <w:tc>
          <w:tcPr>
            <w:tcW w:w="1817" w:type="dxa"/>
            <w:vMerge/>
          </w:tcPr>
          <w:p w14:paraId="38968910" w14:textId="77777777" w:rsidR="00A52BF8" w:rsidRPr="005474EB" w:rsidRDefault="00A52BF8" w:rsidP="006D31C3">
            <w:pPr>
              <w:rPr>
                <w:sz w:val="22"/>
                <w:szCs w:val="22"/>
              </w:rPr>
            </w:pPr>
          </w:p>
        </w:tc>
        <w:tc>
          <w:tcPr>
            <w:tcW w:w="1592" w:type="dxa"/>
          </w:tcPr>
          <w:p w14:paraId="021507F4" w14:textId="77777777" w:rsidR="00A52BF8" w:rsidRPr="005474EB" w:rsidRDefault="00A52BF8" w:rsidP="006D31C3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</w:tc>
        <w:tc>
          <w:tcPr>
            <w:tcW w:w="1518" w:type="dxa"/>
            <w:vAlign w:val="center"/>
          </w:tcPr>
          <w:p w14:paraId="7BDEC6A5" w14:textId="1CDB4B67" w:rsidR="00A52BF8" w:rsidRPr="00F629EF" w:rsidRDefault="000148B2" w:rsidP="006D31C3">
            <w:pPr>
              <w:spacing w:line="200" w:lineRule="exact"/>
              <w:jc w:val="center"/>
              <w:rPr>
                <w:color w:val="70AD47" w:themeColor="accent6"/>
                <w:sz w:val="18"/>
                <w:szCs w:val="18"/>
              </w:rPr>
            </w:pPr>
            <w:r w:rsidRPr="00F629EF">
              <w:rPr>
                <w:color w:val="70AD47" w:themeColor="accent6"/>
                <w:sz w:val="18"/>
                <w:szCs w:val="18"/>
              </w:rPr>
              <w:t>90.85%</w:t>
            </w:r>
          </w:p>
        </w:tc>
        <w:tc>
          <w:tcPr>
            <w:tcW w:w="1403" w:type="dxa"/>
          </w:tcPr>
          <w:p w14:paraId="2C77B230" w14:textId="12D1226A" w:rsidR="00A52BF8" w:rsidRPr="00F629EF" w:rsidRDefault="004312FC" w:rsidP="006D31C3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91.19%</w:t>
            </w:r>
          </w:p>
        </w:tc>
        <w:tc>
          <w:tcPr>
            <w:tcW w:w="1826" w:type="dxa"/>
          </w:tcPr>
          <w:p w14:paraId="06FBAACA" w14:textId="0D25FBA8" w:rsidR="00A52BF8" w:rsidRPr="00F629EF" w:rsidRDefault="00920CD8" w:rsidP="006D31C3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91.29%</w:t>
            </w:r>
          </w:p>
        </w:tc>
        <w:tc>
          <w:tcPr>
            <w:tcW w:w="1523" w:type="dxa"/>
          </w:tcPr>
          <w:p w14:paraId="7FD3C891" w14:textId="427B1380" w:rsidR="00A52BF8" w:rsidRPr="00F629EF" w:rsidRDefault="008E1F49" w:rsidP="006D31C3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90.71%</w:t>
            </w:r>
          </w:p>
        </w:tc>
      </w:tr>
      <w:tr w:rsidR="0024677F" w14:paraId="403C30D9" w14:textId="77777777" w:rsidTr="0024677F">
        <w:tc>
          <w:tcPr>
            <w:tcW w:w="1817" w:type="dxa"/>
            <w:vMerge w:val="restart"/>
          </w:tcPr>
          <w:p w14:paraId="0E8061AE" w14:textId="77777777" w:rsidR="0024677F" w:rsidRPr="005474EB" w:rsidRDefault="0024677F" w:rsidP="0024677F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Accuracy with best parameters</w:t>
            </w:r>
          </w:p>
        </w:tc>
        <w:tc>
          <w:tcPr>
            <w:tcW w:w="1592" w:type="dxa"/>
          </w:tcPr>
          <w:p w14:paraId="6E2FF6F2" w14:textId="77777777" w:rsidR="0024677F" w:rsidRPr="005474EB" w:rsidRDefault="0024677F" w:rsidP="0024677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</w:tc>
        <w:tc>
          <w:tcPr>
            <w:tcW w:w="1518" w:type="dxa"/>
            <w:vAlign w:val="center"/>
          </w:tcPr>
          <w:p w14:paraId="41219E98" w14:textId="41BAD327" w:rsidR="0024677F" w:rsidRPr="00F629EF" w:rsidRDefault="0024677F" w:rsidP="0024677F">
            <w:pPr>
              <w:spacing w:line="200" w:lineRule="exact"/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100%</w:t>
            </w:r>
          </w:p>
        </w:tc>
        <w:tc>
          <w:tcPr>
            <w:tcW w:w="1403" w:type="dxa"/>
          </w:tcPr>
          <w:p w14:paraId="41CE10A6" w14:textId="70045B7D" w:rsidR="0024677F" w:rsidRPr="00F629E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91.30%</w:t>
            </w:r>
          </w:p>
        </w:tc>
        <w:tc>
          <w:tcPr>
            <w:tcW w:w="1826" w:type="dxa"/>
          </w:tcPr>
          <w:p w14:paraId="19618B92" w14:textId="76418DA4" w:rsidR="0024677F" w:rsidRPr="00F629E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9</w:t>
            </w:r>
            <w:r w:rsidR="00EF4F50">
              <w:rPr>
                <w:color w:val="70AD47" w:themeColor="accent6"/>
                <w:sz w:val="18"/>
                <w:szCs w:val="18"/>
              </w:rPr>
              <w:t>9.13%</w:t>
            </w:r>
          </w:p>
        </w:tc>
        <w:tc>
          <w:tcPr>
            <w:tcW w:w="1523" w:type="dxa"/>
          </w:tcPr>
          <w:p w14:paraId="4E341CA8" w14:textId="517E7237" w:rsidR="0024677F" w:rsidRPr="00F629E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90.71%</w:t>
            </w:r>
          </w:p>
        </w:tc>
      </w:tr>
      <w:tr w:rsidR="0024677F" w14:paraId="6E6BEDC6" w14:textId="77777777" w:rsidTr="0024677F">
        <w:tc>
          <w:tcPr>
            <w:tcW w:w="1817" w:type="dxa"/>
            <w:vMerge/>
          </w:tcPr>
          <w:p w14:paraId="602ACA2C" w14:textId="77777777" w:rsidR="0024677F" w:rsidRPr="005474EB" w:rsidRDefault="0024677F" w:rsidP="0024677F">
            <w:pPr>
              <w:rPr>
                <w:sz w:val="22"/>
                <w:szCs w:val="22"/>
              </w:rPr>
            </w:pPr>
          </w:p>
        </w:tc>
        <w:tc>
          <w:tcPr>
            <w:tcW w:w="1592" w:type="dxa"/>
          </w:tcPr>
          <w:p w14:paraId="649AF5EA" w14:textId="77777777" w:rsidR="0024677F" w:rsidRPr="005474EB" w:rsidRDefault="0024677F" w:rsidP="0024677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5474EB">
              <w:rPr>
                <w:sz w:val="22"/>
                <w:szCs w:val="22"/>
              </w:rPr>
              <w:t>0%</w:t>
            </w:r>
          </w:p>
        </w:tc>
        <w:tc>
          <w:tcPr>
            <w:tcW w:w="1518" w:type="dxa"/>
            <w:vAlign w:val="center"/>
          </w:tcPr>
          <w:p w14:paraId="27D8FC7C" w14:textId="78219B05" w:rsidR="0024677F" w:rsidRPr="00F629EF" w:rsidRDefault="0024677F" w:rsidP="0024677F">
            <w:pPr>
              <w:spacing w:line="200" w:lineRule="exact"/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91.29%</w:t>
            </w:r>
          </w:p>
        </w:tc>
        <w:tc>
          <w:tcPr>
            <w:tcW w:w="1403" w:type="dxa"/>
          </w:tcPr>
          <w:p w14:paraId="4A5AD8CB" w14:textId="178F7302" w:rsidR="0024677F" w:rsidRPr="00F629E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90.79%</w:t>
            </w:r>
          </w:p>
        </w:tc>
        <w:tc>
          <w:tcPr>
            <w:tcW w:w="1826" w:type="dxa"/>
          </w:tcPr>
          <w:p w14:paraId="1A3BC2FC" w14:textId="129EF48B" w:rsidR="0024677F" w:rsidRPr="00F629E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9</w:t>
            </w:r>
            <w:r w:rsidR="00EC366B">
              <w:rPr>
                <w:color w:val="70AD47" w:themeColor="accent6"/>
                <w:sz w:val="18"/>
                <w:szCs w:val="18"/>
              </w:rPr>
              <w:t>6.74%</w:t>
            </w:r>
          </w:p>
        </w:tc>
        <w:tc>
          <w:tcPr>
            <w:tcW w:w="1523" w:type="dxa"/>
          </w:tcPr>
          <w:p w14:paraId="01B3EBDB" w14:textId="7AF08291" w:rsidR="0024677F" w:rsidRPr="00F629E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90.83%</w:t>
            </w:r>
          </w:p>
        </w:tc>
      </w:tr>
      <w:tr w:rsidR="0024677F" w14:paraId="693F98BC" w14:textId="77777777" w:rsidTr="0024677F">
        <w:tc>
          <w:tcPr>
            <w:tcW w:w="1817" w:type="dxa"/>
            <w:vMerge/>
          </w:tcPr>
          <w:p w14:paraId="3D8DAE22" w14:textId="77777777" w:rsidR="0024677F" w:rsidRPr="005474EB" w:rsidRDefault="0024677F" w:rsidP="0024677F">
            <w:pPr>
              <w:rPr>
                <w:sz w:val="22"/>
                <w:szCs w:val="22"/>
              </w:rPr>
            </w:pPr>
          </w:p>
        </w:tc>
        <w:tc>
          <w:tcPr>
            <w:tcW w:w="1592" w:type="dxa"/>
          </w:tcPr>
          <w:p w14:paraId="7F5E19CD" w14:textId="77777777" w:rsidR="0024677F" w:rsidRPr="005474EB" w:rsidRDefault="0024677F" w:rsidP="0024677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</w:tc>
        <w:tc>
          <w:tcPr>
            <w:tcW w:w="1518" w:type="dxa"/>
            <w:vAlign w:val="center"/>
          </w:tcPr>
          <w:p w14:paraId="5810CA4D" w14:textId="4C7D97ED" w:rsidR="0024677F" w:rsidRPr="00F629EF" w:rsidRDefault="0024677F" w:rsidP="0024677F">
            <w:pPr>
              <w:spacing w:line="200" w:lineRule="exact"/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91.21%</w:t>
            </w:r>
          </w:p>
        </w:tc>
        <w:tc>
          <w:tcPr>
            <w:tcW w:w="1403" w:type="dxa"/>
          </w:tcPr>
          <w:p w14:paraId="172DDD7E" w14:textId="1200C227" w:rsidR="0024677F" w:rsidRPr="00F629E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91.19%</w:t>
            </w:r>
          </w:p>
        </w:tc>
        <w:tc>
          <w:tcPr>
            <w:tcW w:w="1826" w:type="dxa"/>
          </w:tcPr>
          <w:p w14:paraId="5596E55E" w14:textId="581EFDDD" w:rsidR="0024677F" w:rsidRPr="00F629E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9</w:t>
            </w:r>
            <w:r w:rsidR="008B3DD3">
              <w:rPr>
                <w:color w:val="70AD47" w:themeColor="accent6"/>
                <w:sz w:val="18"/>
                <w:szCs w:val="18"/>
              </w:rPr>
              <w:t>7.15</w:t>
            </w:r>
            <w:r>
              <w:rPr>
                <w:color w:val="70AD47" w:themeColor="accent6"/>
                <w:sz w:val="18"/>
                <w:szCs w:val="18"/>
              </w:rPr>
              <w:t>%</w:t>
            </w:r>
          </w:p>
        </w:tc>
        <w:tc>
          <w:tcPr>
            <w:tcW w:w="1523" w:type="dxa"/>
          </w:tcPr>
          <w:p w14:paraId="18EA22A3" w14:textId="77CDE5AA" w:rsidR="0024677F" w:rsidRPr="00F629E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90.71%</w:t>
            </w:r>
          </w:p>
        </w:tc>
      </w:tr>
      <w:tr w:rsidR="0024677F" w14:paraId="1C2BD178" w14:textId="77777777" w:rsidTr="0024677F">
        <w:trPr>
          <w:trHeight w:val="455"/>
        </w:trPr>
        <w:tc>
          <w:tcPr>
            <w:tcW w:w="3409" w:type="dxa"/>
            <w:gridSpan w:val="2"/>
          </w:tcPr>
          <w:p w14:paraId="47D3561D" w14:textId="77777777" w:rsidR="0024677F" w:rsidRPr="005474EB" w:rsidRDefault="0024677F" w:rsidP="0024677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names of parameters</w:t>
            </w:r>
          </w:p>
        </w:tc>
        <w:tc>
          <w:tcPr>
            <w:tcW w:w="1518" w:type="dxa"/>
            <w:vAlign w:val="center"/>
          </w:tcPr>
          <w:p w14:paraId="119B6D01" w14:textId="6F123BA9" w:rsidR="0024677F" w:rsidRPr="00F629EF" w:rsidRDefault="0073306F" w:rsidP="0024677F">
            <w:pPr>
              <w:spacing w:line="200" w:lineRule="exact"/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K, weighted vote, measure types, mixed measure</w:t>
            </w:r>
          </w:p>
        </w:tc>
        <w:tc>
          <w:tcPr>
            <w:tcW w:w="1403" w:type="dxa"/>
          </w:tcPr>
          <w:p w14:paraId="1DAF004D" w14:textId="77777777" w:rsidR="0024677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Solver: Auto</w:t>
            </w:r>
          </w:p>
          <w:p w14:paraId="12B18A5F" w14:textId="1E334632" w:rsidR="0024677F" w:rsidRPr="00F629E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standardized</w:t>
            </w:r>
          </w:p>
        </w:tc>
        <w:tc>
          <w:tcPr>
            <w:tcW w:w="1826" w:type="dxa"/>
          </w:tcPr>
          <w:p w14:paraId="40160B2B" w14:textId="3D9EA0A1" w:rsidR="0024677F" w:rsidRPr="00F629EF" w:rsidRDefault="007B2F30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 xml:space="preserve">Criterion, maximal depth, apply pruning, confidence, apply prepruning, </w:t>
            </w:r>
            <w:r w:rsidR="004B09D6">
              <w:rPr>
                <w:color w:val="70AD47" w:themeColor="accent6"/>
                <w:sz w:val="18"/>
                <w:szCs w:val="18"/>
              </w:rPr>
              <w:t>minimal gain, minimal leaf size</w:t>
            </w:r>
          </w:p>
        </w:tc>
        <w:tc>
          <w:tcPr>
            <w:tcW w:w="1523" w:type="dxa"/>
          </w:tcPr>
          <w:p w14:paraId="28B7545A" w14:textId="2D16BA6C" w:rsidR="0024677F" w:rsidRPr="00F629E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Selected best results already</w:t>
            </w:r>
          </w:p>
        </w:tc>
      </w:tr>
      <w:tr w:rsidR="0024677F" w14:paraId="395C066B" w14:textId="77777777" w:rsidTr="0024677F">
        <w:tc>
          <w:tcPr>
            <w:tcW w:w="1817" w:type="dxa"/>
            <w:vMerge w:val="restart"/>
          </w:tcPr>
          <w:p w14:paraId="580FBB17" w14:textId="77777777" w:rsidR="0024677F" w:rsidRPr="005474EB" w:rsidRDefault="0024677F" w:rsidP="00246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selected best v</w:t>
            </w:r>
            <w:r w:rsidRPr="005474EB">
              <w:rPr>
                <w:sz w:val="22"/>
                <w:szCs w:val="22"/>
              </w:rPr>
              <w:t xml:space="preserve">alues </w:t>
            </w:r>
            <w:r>
              <w:rPr>
                <w:sz w:val="22"/>
                <w:szCs w:val="22"/>
              </w:rPr>
              <w:t>of</w:t>
            </w:r>
            <w:r w:rsidRPr="005474EB">
              <w:rPr>
                <w:sz w:val="22"/>
                <w:szCs w:val="22"/>
              </w:rPr>
              <w:t xml:space="preserve"> parameters</w:t>
            </w:r>
            <w:r>
              <w:rPr>
                <w:sz w:val="22"/>
                <w:szCs w:val="22"/>
              </w:rPr>
              <w:t xml:space="preserve"> (in the same order as in the list of names)</w:t>
            </w:r>
          </w:p>
        </w:tc>
        <w:tc>
          <w:tcPr>
            <w:tcW w:w="1592" w:type="dxa"/>
          </w:tcPr>
          <w:p w14:paraId="6E893AAB" w14:textId="77777777" w:rsidR="0024677F" w:rsidRDefault="0024677F" w:rsidP="0024677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  <w:p w14:paraId="219C9FBE" w14:textId="77777777" w:rsidR="0024677F" w:rsidRPr="005474EB" w:rsidRDefault="0024677F" w:rsidP="0024677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18" w:type="dxa"/>
            <w:vAlign w:val="center"/>
          </w:tcPr>
          <w:p w14:paraId="10A90BFA" w14:textId="1EF86A79" w:rsidR="0024677F" w:rsidRPr="00F629EF" w:rsidRDefault="0024677F" w:rsidP="007B2F30">
            <w:pPr>
              <w:spacing w:line="200" w:lineRule="exact"/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1</w:t>
            </w:r>
            <w:r w:rsidR="007B2F30">
              <w:rPr>
                <w:color w:val="70AD47" w:themeColor="accent6"/>
                <w:sz w:val="18"/>
                <w:szCs w:val="18"/>
              </w:rPr>
              <w:t>, weighted vote, measure type: mixed measures, mixed measure: mixedEuclidianDistance</w:t>
            </w:r>
          </w:p>
        </w:tc>
        <w:tc>
          <w:tcPr>
            <w:tcW w:w="1403" w:type="dxa"/>
          </w:tcPr>
          <w:p w14:paraId="586FED30" w14:textId="77777777" w:rsidR="0024677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Solver: Auto</w:t>
            </w:r>
          </w:p>
          <w:p w14:paraId="403D2207" w14:textId="6C13AA98" w:rsidR="0024677F" w:rsidRPr="00F629E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Standardized</w:t>
            </w:r>
          </w:p>
        </w:tc>
        <w:tc>
          <w:tcPr>
            <w:tcW w:w="1826" w:type="dxa"/>
          </w:tcPr>
          <w:p w14:paraId="044F46D4" w14:textId="48F00410" w:rsidR="0024677F" w:rsidRPr="00F629EF" w:rsidRDefault="004B09D6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Criterion: gini_index</w:t>
            </w:r>
            <w:r w:rsidR="0024677F">
              <w:rPr>
                <w:color w:val="70AD47" w:themeColor="accent6"/>
                <w:sz w:val="18"/>
                <w:szCs w:val="18"/>
              </w:rPr>
              <w:t xml:space="preserve"> </w:t>
            </w:r>
          </w:p>
        </w:tc>
        <w:tc>
          <w:tcPr>
            <w:tcW w:w="1523" w:type="dxa"/>
          </w:tcPr>
          <w:p w14:paraId="705CF626" w14:textId="77777777" w:rsidR="0024677F" w:rsidRPr="00F629E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</w:p>
        </w:tc>
      </w:tr>
      <w:tr w:rsidR="0024677F" w14:paraId="19C14C7C" w14:textId="77777777" w:rsidTr="0024677F">
        <w:tc>
          <w:tcPr>
            <w:tcW w:w="1817" w:type="dxa"/>
            <w:vMerge/>
          </w:tcPr>
          <w:p w14:paraId="1A6EFF08" w14:textId="77777777" w:rsidR="0024677F" w:rsidRPr="005474EB" w:rsidRDefault="0024677F" w:rsidP="0024677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92" w:type="dxa"/>
          </w:tcPr>
          <w:p w14:paraId="2F3A8650" w14:textId="77777777" w:rsidR="0024677F" w:rsidRDefault="0024677F" w:rsidP="0024677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5474EB">
              <w:rPr>
                <w:sz w:val="22"/>
                <w:szCs w:val="22"/>
              </w:rPr>
              <w:t>0%</w:t>
            </w:r>
          </w:p>
          <w:p w14:paraId="733F6B93" w14:textId="77777777" w:rsidR="0024677F" w:rsidRPr="005474EB" w:rsidRDefault="0024677F" w:rsidP="0024677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18" w:type="dxa"/>
            <w:vAlign w:val="center"/>
          </w:tcPr>
          <w:p w14:paraId="630ECF4D" w14:textId="027EB3E2" w:rsidR="0024677F" w:rsidRPr="00F629EF" w:rsidRDefault="0024677F" w:rsidP="0024677F">
            <w:pPr>
              <w:spacing w:line="200" w:lineRule="exact"/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21</w:t>
            </w:r>
            <w:r w:rsidR="007B2F30">
              <w:rPr>
                <w:color w:val="70AD47" w:themeColor="accent6"/>
                <w:sz w:val="18"/>
                <w:szCs w:val="18"/>
              </w:rPr>
              <w:t>, weighted vote, measure type: mixed measures, mixed measure: mixedEuclidianDistance</w:t>
            </w:r>
          </w:p>
        </w:tc>
        <w:tc>
          <w:tcPr>
            <w:tcW w:w="1403" w:type="dxa"/>
          </w:tcPr>
          <w:p w14:paraId="49848A78" w14:textId="77777777" w:rsidR="0024677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Solver: Auto</w:t>
            </w:r>
          </w:p>
          <w:p w14:paraId="4A33A233" w14:textId="33FAD71E" w:rsidR="0024677F" w:rsidRPr="00F629E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Standardized</w:t>
            </w:r>
          </w:p>
        </w:tc>
        <w:tc>
          <w:tcPr>
            <w:tcW w:w="1826" w:type="dxa"/>
          </w:tcPr>
          <w:p w14:paraId="39E26794" w14:textId="120B6847" w:rsidR="0024677F" w:rsidRPr="00F629EF" w:rsidRDefault="004B09D6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Criterion: gini_index</w:t>
            </w:r>
          </w:p>
        </w:tc>
        <w:tc>
          <w:tcPr>
            <w:tcW w:w="1523" w:type="dxa"/>
          </w:tcPr>
          <w:p w14:paraId="3DAC6591" w14:textId="77777777" w:rsidR="0024677F" w:rsidRPr="00F629E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</w:p>
        </w:tc>
      </w:tr>
      <w:tr w:rsidR="0024677F" w14:paraId="33E257A4" w14:textId="77777777" w:rsidTr="0024677F">
        <w:tc>
          <w:tcPr>
            <w:tcW w:w="1817" w:type="dxa"/>
            <w:vMerge/>
          </w:tcPr>
          <w:p w14:paraId="279FFE99" w14:textId="77777777" w:rsidR="0024677F" w:rsidRPr="005474EB" w:rsidRDefault="0024677F" w:rsidP="0024677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92" w:type="dxa"/>
          </w:tcPr>
          <w:p w14:paraId="3FF70D59" w14:textId="77777777" w:rsidR="0024677F" w:rsidRDefault="0024677F" w:rsidP="0024677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  <w:p w14:paraId="03C7DA0A" w14:textId="77777777" w:rsidR="0024677F" w:rsidRPr="005474EB" w:rsidRDefault="0024677F" w:rsidP="0024677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18" w:type="dxa"/>
            <w:vAlign w:val="center"/>
          </w:tcPr>
          <w:p w14:paraId="250468C8" w14:textId="0C53B620" w:rsidR="0024677F" w:rsidRPr="00F629EF" w:rsidRDefault="0024677F" w:rsidP="0024677F">
            <w:pPr>
              <w:spacing w:line="200" w:lineRule="exact"/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21</w:t>
            </w:r>
            <w:r w:rsidR="007B2F30">
              <w:rPr>
                <w:color w:val="70AD47" w:themeColor="accent6"/>
                <w:sz w:val="18"/>
                <w:szCs w:val="18"/>
              </w:rPr>
              <w:t>, weighted vote, measure type: mixed measures, mixed measure: mixedEuclidianDistance</w:t>
            </w:r>
          </w:p>
        </w:tc>
        <w:tc>
          <w:tcPr>
            <w:tcW w:w="1403" w:type="dxa"/>
          </w:tcPr>
          <w:p w14:paraId="391B6AAC" w14:textId="77777777" w:rsidR="0024677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Solver: Auto</w:t>
            </w:r>
          </w:p>
          <w:p w14:paraId="35348E82" w14:textId="6BD81AFA" w:rsidR="0024677F" w:rsidRPr="00F629E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standardized</w:t>
            </w:r>
          </w:p>
        </w:tc>
        <w:tc>
          <w:tcPr>
            <w:tcW w:w="1826" w:type="dxa"/>
          </w:tcPr>
          <w:p w14:paraId="3C4BE080" w14:textId="0E4B7337" w:rsidR="0024677F" w:rsidRPr="00F629EF" w:rsidRDefault="004B09D6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  <w:r>
              <w:rPr>
                <w:color w:val="70AD47" w:themeColor="accent6"/>
                <w:sz w:val="18"/>
                <w:szCs w:val="18"/>
              </w:rPr>
              <w:t>Criterion: gini_index</w:t>
            </w:r>
          </w:p>
        </w:tc>
        <w:tc>
          <w:tcPr>
            <w:tcW w:w="1523" w:type="dxa"/>
          </w:tcPr>
          <w:p w14:paraId="45F06F15" w14:textId="77777777" w:rsidR="0024677F" w:rsidRPr="00F629EF" w:rsidRDefault="0024677F" w:rsidP="0024677F">
            <w:pPr>
              <w:jc w:val="center"/>
              <w:rPr>
                <w:color w:val="70AD47" w:themeColor="accent6"/>
                <w:sz w:val="18"/>
                <w:szCs w:val="18"/>
              </w:rPr>
            </w:pPr>
          </w:p>
        </w:tc>
      </w:tr>
    </w:tbl>
    <w:p w14:paraId="092F1233" w14:textId="12384966" w:rsidR="00853133" w:rsidRDefault="002A0F18" w:rsidP="00853133">
      <w:pPr>
        <w:pStyle w:val="ListParagraph"/>
        <w:numPr>
          <w:ilvl w:val="1"/>
          <w:numId w:val="2"/>
        </w:numPr>
      </w:pPr>
      <w:r>
        <w:t>K-NN</w:t>
      </w:r>
      <w:r w:rsidR="00135D0B">
        <w:t xml:space="preserve"> produced 100% but I think that that’s because it is overfit with </w:t>
      </w:r>
      <w:r w:rsidR="000B0563">
        <w:t>the data it was given and the extremely low value for k which was 1 in this case</w:t>
      </w:r>
      <w:r w:rsidR="00671194">
        <w:t xml:space="preserve">. Also considering the fact that there are a lot of other features making this dataset noisy the 100% is definitely not </w:t>
      </w:r>
      <w:r w:rsidR="00F06F19">
        <w:t>a good result</w:t>
      </w:r>
      <w:r w:rsidR="00197022">
        <w:t>.</w:t>
      </w:r>
    </w:p>
    <w:p w14:paraId="224703B4" w14:textId="58287233" w:rsidR="004B121C" w:rsidRDefault="00441DE0" w:rsidP="00853133">
      <w:pPr>
        <w:pStyle w:val="ListParagraph"/>
        <w:numPr>
          <w:ilvl w:val="1"/>
          <w:numId w:val="2"/>
        </w:numPr>
      </w:pPr>
      <w:r>
        <w:t xml:space="preserve">This predictor would be </w:t>
      </w:r>
      <w:r w:rsidR="000D3ACB">
        <w:t xml:space="preserve">better suited to predict </w:t>
      </w:r>
      <w:r w:rsidR="0028178A">
        <w:t xml:space="preserve">proteins that do not interact with nucleic acids because the level of precision is very high for predicting no values and the recall is very high as well. </w:t>
      </w:r>
      <w:r w:rsidR="00D11605" w:rsidRPr="00D11605">
        <w:rPr>
          <w:noProof/>
        </w:rPr>
        <w:drawing>
          <wp:inline distT="0" distB="0" distL="0" distR="0" wp14:anchorId="574DAF00" wp14:editId="3006B6B7">
            <wp:extent cx="6309360" cy="1356995"/>
            <wp:effectExtent l="0" t="0" r="0" b="0"/>
            <wp:docPr id="1164176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765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A0FC" w14:textId="2EF6EC23" w:rsidR="00A70DCD" w:rsidRDefault="00BC4C73" w:rsidP="00A70DCD">
      <w:pPr>
        <w:pStyle w:val="ListParagraph"/>
        <w:numPr>
          <w:ilvl w:val="1"/>
          <w:numId w:val="2"/>
        </w:numPr>
      </w:pPr>
      <w:r>
        <w:t xml:space="preserve">Yes it is </w:t>
      </w:r>
      <w:r w:rsidR="00414BAE">
        <w:t xml:space="preserve">an improvement because </w:t>
      </w:r>
      <w:r w:rsidR="00494630">
        <w:t>this way we can actually predict values</w:t>
      </w:r>
      <w:r w:rsidR="00B13213">
        <w:t xml:space="preserve">. It’s also able to be exposed to new data and still </w:t>
      </w:r>
      <w:r w:rsidR="000F7C4E">
        <w:t>produce accurate results.</w:t>
      </w:r>
    </w:p>
    <w:sectPr w:rsidR="00A70DCD" w:rsidSect="004F6CA9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00E7"/>
    <w:multiLevelType w:val="hybridMultilevel"/>
    <w:tmpl w:val="BCCA1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4D7DF8"/>
    <w:multiLevelType w:val="hybridMultilevel"/>
    <w:tmpl w:val="E398B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D48D5"/>
    <w:multiLevelType w:val="hybridMultilevel"/>
    <w:tmpl w:val="AA9E0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22E5A"/>
    <w:multiLevelType w:val="hybridMultilevel"/>
    <w:tmpl w:val="C0062EF8"/>
    <w:lvl w:ilvl="0" w:tplc="FCCA881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9C4B9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393335">
    <w:abstractNumId w:val="2"/>
  </w:num>
  <w:num w:numId="2" w16cid:durableId="239101093">
    <w:abstractNumId w:val="3"/>
  </w:num>
  <w:num w:numId="3" w16cid:durableId="1835291784">
    <w:abstractNumId w:val="0"/>
  </w:num>
  <w:num w:numId="4" w16cid:durableId="573006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00"/>
    <w:rsid w:val="00014100"/>
    <w:rsid w:val="000148B2"/>
    <w:rsid w:val="00090E2D"/>
    <w:rsid w:val="000B0563"/>
    <w:rsid w:val="000D3ACB"/>
    <w:rsid w:val="000F7C4E"/>
    <w:rsid w:val="00135D0B"/>
    <w:rsid w:val="00197022"/>
    <w:rsid w:val="001B1CD5"/>
    <w:rsid w:val="001E0AF1"/>
    <w:rsid w:val="001F324C"/>
    <w:rsid w:val="0024677F"/>
    <w:rsid w:val="00266E86"/>
    <w:rsid w:val="0028178A"/>
    <w:rsid w:val="002A0F18"/>
    <w:rsid w:val="002D26A5"/>
    <w:rsid w:val="002E08EB"/>
    <w:rsid w:val="00360357"/>
    <w:rsid w:val="003B7406"/>
    <w:rsid w:val="003D5BEC"/>
    <w:rsid w:val="003F6E05"/>
    <w:rsid w:val="00414BAE"/>
    <w:rsid w:val="004312FC"/>
    <w:rsid w:val="00441DE0"/>
    <w:rsid w:val="0047502B"/>
    <w:rsid w:val="00494630"/>
    <w:rsid w:val="004B09D6"/>
    <w:rsid w:val="004B121C"/>
    <w:rsid w:val="004E2A5D"/>
    <w:rsid w:val="00500748"/>
    <w:rsid w:val="005104FE"/>
    <w:rsid w:val="005D1EB9"/>
    <w:rsid w:val="005D6921"/>
    <w:rsid w:val="00635018"/>
    <w:rsid w:val="00641300"/>
    <w:rsid w:val="00663895"/>
    <w:rsid w:val="00671194"/>
    <w:rsid w:val="006A2798"/>
    <w:rsid w:val="00704999"/>
    <w:rsid w:val="0072758B"/>
    <w:rsid w:val="0073306F"/>
    <w:rsid w:val="00785C16"/>
    <w:rsid w:val="007B1383"/>
    <w:rsid w:val="007B2F30"/>
    <w:rsid w:val="00853133"/>
    <w:rsid w:val="008B3DD3"/>
    <w:rsid w:val="008D0FE6"/>
    <w:rsid w:val="008E1F49"/>
    <w:rsid w:val="00920CD8"/>
    <w:rsid w:val="009F2E41"/>
    <w:rsid w:val="00A52BF8"/>
    <w:rsid w:val="00A70DCD"/>
    <w:rsid w:val="00B13213"/>
    <w:rsid w:val="00B369D1"/>
    <w:rsid w:val="00BB0399"/>
    <w:rsid w:val="00BC4C73"/>
    <w:rsid w:val="00C03304"/>
    <w:rsid w:val="00C03F43"/>
    <w:rsid w:val="00CD6DC2"/>
    <w:rsid w:val="00D11605"/>
    <w:rsid w:val="00D30DC9"/>
    <w:rsid w:val="00D5183C"/>
    <w:rsid w:val="00D904EA"/>
    <w:rsid w:val="00DC30CB"/>
    <w:rsid w:val="00DE58D2"/>
    <w:rsid w:val="00E60CAD"/>
    <w:rsid w:val="00E70F85"/>
    <w:rsid w:val="00EC366B"/>
    <w:rsid w:val="00ED3B36"/>
    <w:rsid w:val="00EE03C2"/>
    <w:rsid w:val="00EF48F5"/>
    <w:rsid w:val="00EF4F50"/>
    <w:rsid w:val="00F06F19"/>
    <w:rsid w:val="00F156E1"/>
    <w:rsid w:val="00F629EF"/>
    <w:rsid w:val="00FD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AA9B"/>
  <w15:chartTrackingRefBased/>
  <w15:docId w15:val="{5D9F712D-170C-458B-BD9A-831DA85E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CD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2BF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2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Taylor</dc:creator>
  <cp:keywords/>
  <dc:description/>
  <cp:lastModifiedBy>Sam Taylor</cp:lastModifiedBy>
  <cp:revision>74</cp:revision>
  <dcterms:created xsi:type="dcterms:W3CDTF">2023-10-04T00:25:00Z</dcterms:created>
  <dcterms:modified xsi:type="dcterms:W3CDTF">2023-10-05T05:59:00Z</dcterms:modified>
</cp:coreProperties>
</file>