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如何看待一件事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分析方向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现状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发生了一件事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过去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根因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直接原因（主观人为）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当事人采取该操作的原因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事情是否应该如此发生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心理和稳定合理法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未来走向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此事发生的目的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此事的影响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目标能否实现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应对措施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自己该采取什么措施应对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事情类别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娱乐评论型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信息挖掘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节点分析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立场不同、妥协和均衡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宏观待处理型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当前平衡点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改革阻力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解决方案及新平衡点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观念冲激型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降低抵抗心理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接触新环境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事件决策型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响应应对型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是不是问题？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该谁处理？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安排是否合理？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对自己的影响是什么？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支撑例子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李国庆离婚案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重庆大火事件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该不该买保险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MLF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同事让我做事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