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5C7A5E"/>
          <w:sz w:val="44"/>
          <w:szCs w:val="44"/>
        </w:rPr>
        <w:t xml:space="preserve">Data Science Fundamentals</w:t>
      </w:r>
    </w:p>
    <w:p>
      <w:pPr>
        <w:spacing w:after="300"/>
      </w:pPr>
      <w:r>
        <w:rPr>
          <w:i/>
          <w:iCs/>
          <w:color w:val="6B6B6F"/>
          <w:sz w:val="24"/>
          <w:szCs w:val="24"/>
        </w:rPr>
        <w:t xml:space="preserve">DS201  ·  Lecture Notes</w:t>
      </w:r>
    </w:p>
    <w:p>
      <w:pPr>
        <w:pBdr>
          <w:bottom w:val="single" w:color="5C7A5E" w:sz="12" w:space="1"/>
        </w:pBdr>
        <w:spacing w:after="300"/>
      </w:pPr>
      <w:r>
        <w:t xml:space="preserve"/>
      </w:r>
    </w:p>
    <w:p>
      <w:pPr>
        <w:pStyle w:val="Heading1"/>
        <w:spacing w:after="140" w:before="320"/>
      </w:pPr>
      <w:r>
        <w:rPr>
          <w:b/>
          <w:bCs/>
          <w:color w:val="5C7A5E"/>
        </w:rPr>
        <w:t xml:space="preserve">1. Introduction to NumPy</w:t>
      </w:r>
    </w:p>
    <w:p>
      <w:pPr>
        <w:spacing w:after="160"/>
      </w:pPr>
      <w:r>
        <w:rPr>
          <w:sz w:val="22"/>
          <w:szCs w:val="22"/>
        </w:rPr>
        <w:t xml:space="preserve">NumPy is the foundational library for numerical computing in Python. Its core object is the ndarray, a fast, fixed-type, multi-dimensional array that supports vectorized operations, which are far faster than looping over plain Python lists.</w:t>
      </w:r>
    </w:p>
    <w:p>
      <w:pPr>
        <w:shd w:fill="F1ECE1" w:val="clear"/>
        <w:spacing w:after="160" w:before="80"/>
      </w:pPr>
      <w:r>
        <w:rPr>
          <w:rFonts w:ascii="Courier New" w:cs="Courier New" w:eastAsia="Courier New" w:hAnsi="Courier New"/>
          <w:sz w:val="20"/>
          <w:szCs w:val="20"/>
        </w:rPr>
        <w:t xml:space="preserve">import numpy as np
scores = np.array([88, 92, 79, 95])
print(scores.mean(), scores.std())</w:t>
      </w:r>
    </w:p>
    <w:p>
      <w:pPr>
        <w:spacing w:after="160"/>
      </w:pPr>
      <w:r>
        <w:rPr>
          <w:sz w:val="22"/>
          <w:szCs w:val="22"/>
        </w:rPr>
        <w:t xml:space="preserve">NumPy operations are applied element-wise by default (broadcasting), and arrays can be reshaped, sliced, and combined with functions like np.concatenate, np.reshape, and np.where.</w:t>
      </w:r>
    </w:p>
    <w:p>
      <w:pPr>
        <w:pStyle w:val="Heading1"/>
        <w:spacing w:after="140" w:before="320"/>
      </w:pPr>
      <w:r>
        <w:rPr>
          <w:b/>
          <w:bCs/>
          <w:color w:val="5C7A5E"/>
        </w:rPr>
        <w:t xml:space="preserve">2. Data Manipulation with Pandas</w:t>
      </w:r>
    </w:p>
    <w:p>
      <w:pPr>
        <w:spacing w:after="160"/>
      </w:pPr>
      <w:r>
        <w:rPr>
          <w:sz w:val="22"/>
          <w:szCs w:val="22"/>
        </w:rPr>
        <w:t xml:space="preserve">Pandas provides two core structures: the Series (a labeled 1D array) and the DataFrame (a labeled 2D table). Most real-world data science work starts by loading data into a DataFrame with pd.read_csv() or pd.read_excel().</w:t>
      </w:r>
    </w:p>
    <w:p>
      <w:pPr>
        <w:shd w:fill="F1ECE1" w:val="clear"/>
        <w:spacing w:after="160" w:before="80"/>
      </w:pPr>
      <w:r>
        <w:rPr>
          <w:rFonts w:ascii="Courier New" w:cs="Courier New" w:eastAsia="Courier New" w:hAnsi="Courier New"/>
          <w:sz w:val="20"/>
          <w:szCs w:val="20"/>
        </w:rPr>
        <w:t xml:space="preserve">import pandas as pd
df = pd.read_csv("grades.csv")
top_students = df[df["score"] &gt; 90].sort_values("score", ascending=False)</w:t>
      </w:r>
    </w:p>
    <w:p>
      <w:pPr>
        <w:pStyle w:val="Heading2"/>
        <w:spacing w:after="100" w:before="160"/>
      </w:pPr>
      <w:r>
        <w:rPr>
          <w:b/>
          <w:bCs/>
          <w:color w:val="3D4A63"/>
        </w:rPr>
        <w:t xml:space="preserve">Common operations</w:t>
      </w:r>
    </w:p>
    <w:p>
      <w:pPr>
        <w:pStyle w:val="ListParagraph"/>
        <w:numPr>
          <w:ilvl w:val="0"/>
          <w:numId w:val="2"/>
        </w:numPr>
        <w:spacing w:after="80"/>
      </w:pPr>
      <w:r>
        <w:rPr>
          <w:sz w:val="22"/>
          <w:szCs w:val="22"/>
        </w:rPr>
        <w:t xml:space="preserve">Filtering rows with boolean masks, e.g. df[df['age'] &gt; 20]</w:t>
      </w:r>
    </w:p>
    <w:p>
      <w:pPr>
        <w:pStyle w:val="ListParagraph"/>
        <w:numPr>
          <w:ilvl w:val="0"/>
          <w:numId w:val="2"/>
        </w:numPr>
        <w:spacing w:after="80"/>
      </w:pPr>
      <w:r>
        <w:rPr>
          <w:sz w:val="22"/>
          <w:szCs w:val="22"/>
        </w:rPr>
        <w:t xml:space="preserve">Grouping and aggregating with df.groupby('course').mean()</w:t>
      </w:r>
    </w:p>
    <w:p>
      <w:pPr>
        <w:pStyle w:val="ListParagraph"/>
        <w:numPr>
          <w:ilvl w:val="0"/>
          <w:numId w:val="2"/>
        </w:numPr>
        <w:spacing w:after="80"/>
      </w:pPr>
      <w:r>
        <w:rPr>
          <w:sz w:val="22"/>
          <w:szCs w:val="22"/>
        </w:rPr>
        <w:t xml:space="preserve">Handling missing values with df.dropna() or df.fillna(value)</w:t>
      </w:r>
    </w:p>
    <w:p>
      <w:pPr>
        <w:pStyle w:val="ListParagraph"/>
        <w:numPr>
          <w:ilvl w:val="0"/>
          <w:numId w:val="2"/>
        </w:numPr>
        <w:spacing w:after="80"/>
      </w:pPr>
      <w:r>
        <w:rPr>
          <w:sz w:val="22"/>
          <w:szCs w:val="22"/>
        </w:rPr>
        <w:t xml:space="preserve">Merging datasets with pd.merge(df1, df2, on='student_id')</w:t>
      </w:r>
    </w:p>
    <w:p>
      <w:pPr>
        <w:pStyle w:val="Heading1"/>
        <w:spacing w:after="140" w:before="320"/>
      </w:pPr>
      <w:r>
        <w:rPr>
          <w:b/>
          <w:bCs/>
          <w:color w:val="5C7A5E"/>
        </w:rPr>
        <w:t xml:space="preserve">3. Descriptive Statistics</w:t>
      </w:r>
    </w:p>
    <w:p>
      <w:pPr>
        <w:spacing w:after="160"/>
      </w:pPr>
      <w:r>
        <w:rPr>
          <w:sz w:val="22"/>
          <w:szCs w:val="22"/>
        </w:rPr>
        <w:t xml:space="preserve">Descriptive statistics summarize the main features of a dataset. The mean is the average value, the median is the middle value when data is sorted, and the mode is the most frequent value. The standard deviation measures how spread out values are around the mean.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5C7A5E" w:val="clear"/>
          </w:tcPr>
          <w:p>
            <w:r>
              <w:rPr>
                <w:b/>
                <w:bCs/>
                <w:color w:val="FFFFFF"/>
                <w:sz w:val="20"/>
                <w:szCs w:val="20"/>
              </w:rPr>
              <w:t xml:space="preserve">Measure</w:t>
            </w:r>
          </w:p>
        </w:tc>
        <w:tc>
          <w:tcPr>
            <w:tcW w:type="dxa" w:w="3000"/>
            <w:shd w:fill="5C7A5E" w:val="clear"/>
          </w:tcPr>
          <w:p>
            <w:r>
              <w:rPr>
                <w:b/>
                <w:bCs/>
                <w:color w:val="FFFFFF"/>
                <w:sz w:val="20"/>
                <w:szCs w:val="20"/>
              </w:rPr>
              <w:t xml:space="preserve">What it Describes</w:t>
            </w:r>
          </w:p>
        </w:tc>
        <w:tc>
          <w:tcPr>
            <w:tcW w:type="dxa" w:w="3000"/>
            <w:shd w:fill="5C7A5E" w:val="clear"/>
          </w:tcPr>
          <w:p>
            <w:r>
              <w:rPr>
                <w:b/>
                <w:bCs/>
                <w:color w:val="FFFFFF"/>
                <w:sz w:val="20"/>
                <w:szCs w:val="20"/>
              </w:rPr>
              <w:t xml:space="preserve">Sensitive to Outliers?</w:t>
            </w:r>
          </w:p>
        </w:tc>
      </w:tr>
      <w:tr>
        <w:tc>
          <w:tcPr>
            <w:tcW w:type="dxa" w:w="3000"/>
          </w:tcPr>
          <w:p>
            <w:r>
              <w:rPr>
                <w:b w:val="false"/>
                <w:bCs w:val="false"/>
                <w:color w:val="24272B"/>
                <w:sz w:val="20"/>
                <w:szCs w:val="20"/>
              </w:rPr>
              <w:t xml:space="preserve">Mean</w:t>
            </w:r>
          </w:p>
        </w:tc>
        <w:tc>
          <w:tcPr>
            <w:tcW w:type="dxa" w:w="3000"/>
          </w:tcPr>
          <w:p>
            <w:r>
              <w:rPr>
                <w:b w:val="false"/>
                <w:bCs w:val="false"/>
                <w:color w:val="24272B"/>
                <w:sz w:val="20"/>
                <w:szCs w:val="20"/>
              </w:rPr>
              <w:t xml:space="preserve">Central tendency (average)</w:t>
            </w:r>
          </w:p>
        </w:tc>
        <w:tc>
          <w:tcPr>
            <w:tcW w:type="dxa" w:w="3000"/>
          </w:tcPr>
          <w:p>
            <w:r>
              <w:rPr>
                <w:b w:val="false"/>
                <w:bCs w:val="false"/>
                <w:color w:val="24272B"/>
                <w:sz w:val="20"/>
                <w:szCs w:val="20"/>
              </w:rPr>
              <w:t xml:space="preserve">Yes</w:t>
            </w:r>
          </w:p>
        </w:tc>
      </w:tr>
      <w:tr>
        <w:tc>
          <w:tcPr>
            <w:tcW w:type="dxa" w:w="3000"/>
          </w:tcPr>
          <w:p>
            <w:r>
              <w:rPr>
                <w:b w:val="false"/>
                <w:bCs w:val="false"/>
                <w:color w:val="24272B"/>
                <w:sz w:val="20"/>
                <w:szCs w:val="20"/>
              </w:rPr>
              <w:t xml:space="preserve">Median</w:t>
            </w:r>
          </w:p>
        </w:tc>
        <w:tc>
          <w:tcPr>
            <w:tcW w:type="dxa" w:w="3000"/>
          </w:tcPr>
          <w:p>
            <w:r>
              <w:rPr>
                <w:b w:val="false"/>
                <w:bCs w:val="false"/>
                <w:color w:val="24272B"/>
                <w:sz w:val="20"/>
                <w:szCs w:val="20"/>
              </w:rPr>
              <w:t xml:space="preserve">Central tendency (middle value)</w:t>
            </w:r>
          </w:p>
        </w:tc>
        <w:tc>
          <w:tcPr>
            <w:tcW w:type="dxa" w:w="3000"/>
          </w:tcPr>
          <w:p>
            <w:r>
              <w:rPr>
                <w:b w:val="false"/>
                <w:bCs w:val="false"/>
                <w:color w:val="24272B"/>
                <w:sz w:val="20"/>
                <w:szCs w:val="20"/>
              </w:rPr>
              <w:t xml:space="preserve">No</w:t>
            </w:r>
          </w:p>
        </w:tc>
      </w:tr>
      <w:tr>
        <w:tc>
          <w:tcPr>
            <w:tcW w:type="dxa" w:w="3000"/>
          </w:tcPr>
          <w:p>
            <w:r>
              <w:rPr>
                <w:b w:val="false"/>
                <w:bCs w:val="false"/>
                <w:color w:val="24272B"/>
                <w:sz w:val="20"/>
                <w:szCs w:val="20"/>
              </w:rPr>
              <w:t xml:space="preserve">Standard Deviation</w:t>
            </w:r>
          </w:p>
        </w:tc>
        <w:tc>
          <w:tcPr>
            <w:tcW w:type="dxa" w:w="3000"/>
          </w:tcPr>
          <w:p>
            <w:r>
              <w:rPr>
                <w:b w:val="false"/>
                <w:bCs w:val="false"/>
                <w:color w:val="24272B"/>
                <w:sz w:val="20"/>
                <w:szCs w:val="20"/>
              </w:rPr>
              <w:t xml:space="preserve">Spread around the mean</w:t>
            </w:r>
          </w:p>
        </w:tc>
        <w:tc>
          <w:tcPr>
            <w:tcW w:type="dxa" w:w="3000"/>
          </w:tcPr>
          <w:p>
            <w:r>
              <w:rPr>
                <w:b w:val="false"/>
                <w:bCs w:val="false"/>
                <w:color w:val="24272B"/>
                <w:sz w:val="20"/>
                <w:szCs w:val="20"/>
              </w:rPr>
              <w:t xml:space="preserve">Yes</w:t>
            </w:r>
          </w:p>
        </w:tc>
      </w:tr>
      <w:tr>
        <w:tc>
          <w:tcPr>
            <w:tcW w:type="dxa" w:w="3000"/>
          </w:tcPr>
          <w:p>
            <w:r>
              <w:rPr>
                <w:b w:val="false"/>
                <w:bCs w:val="false"/>
                <w:color w:val="24272B"/>
                <w:sz w:val="20"/>
                <w:szCs w:val="20"/>
              </w:rPr>
              <w:t xml:space="preserve">Interquartile Range (IQR)</w:t>
            </w:r>
          </w:p>
        </w:tc>
        <w:tc>
          <w:tcPr>
            <w:tcW w:type="dxa" w:w="3000"/>
          </w:tcPr>
          <w:p>
            <w:r>
              <w:rPr>
                <w:b w:val="false"/>
                <w:bCs w:val="false"/>
                <w:color w:val="24272B"/>
                <w:sz w:val="20"/>
                <w:szCs w:val="20"/>
              </w:rPr>
              <w:t xml:space="preserve">Spread of the middle 50% of data</w:t>
            </w:r>
          </w:p>
        </w:tc>
        <w:tc>
          <w:tcPr>
            <w:tcW w:type="dxa" w:w="3000"/>
          </w:tcPr>
          <w:p>
            <w:r>
              <w:rPr>
                <w:b w:val="false"/>
                <w:bCs w:val="false"/>
                <w:color w:val="24272B"/>
                <w:sz w:val="20"/>
                <w:szCs w:val="20"/>
              </w:rPr>
              <w:t xml:space="preserve">No</w:t>
            </w:r>
          </w:p>
        </w:tc>
      </w:tr>
    </w:tbl>
    <w:p>
      <w:pPr>
        <w:spacing w:after="160"/>
      </w:pPr>
      <w:r>
        <w:t xml:space="preserve"/>
      </w:r>
    </w:p>
    <w:p>
      <w:pPr>
        <w:spacing w:after="160"/>
      </w:pPr>
      <w:r>
        <w:rPr>
          <w:sz w:val="22"/>
          <w:szCs w:val="22"/>
        </w:rPr>
        <w:t xml:space="preserve">A distribution is described as skewed when its tail is longer on one side; right-skewed data has a long right tail (mean &gt; median), while left-skewed data has a long left tail (mean &lt; median).</w:t>
      </w:r>
    </w:p>
    <w:p>
      <w:pPr>
        <w:pStyle w:val="Heading1"/>
        <w:spacing w:after="140" w:before="320"/>
      </w:pPr>
      <w:r>
        <w:rPr>
          <w:b/>
          <w:bCs/>
          <w:color w:val="5C7A5E"/>
        </w:rPr>
        <w:t xml:space="preserve">4. Data Visualization</w:t>
      </w:r>
    </w:p>
    <w:p>
      <w:pPr>
        <w:spacing w:after="160"/>
      </w:pPr>
      <w:r>
        <w:rPr>
          <w:sz w:val="22"/>
          <w:szCs w:val="22"/>
        </w:rPr>
        <w:t xml:space="preserve">Visualization turns numbers into patterns the eye can catch. Matplotlib is the base plotting library in Python, and Seaborn builds on it with statistically-aware, better-styled charts.</w:t>
      </w:r>
    </w:p>
    <w:p>
      <w:pPr>
        <w:pStyle w:val="ListParagraph"/>
        <w:numPr>
          <w:ilvl w:val="0"/>
          <w:numId w:val="2"/>
        </w:numPr>
        <w:spacing w:after="80"/>
      </w:pPr>
      <w:r>
        <w:rPr>
          <w:sz w:val="22"/>
          <w:szCs w:val="22"/>
        </w:rPr>
        <w:t xml:space="preserve">Histogram - shows the distribution/shape of a single numeric variable</w:t>
      </w:r>
    </w:p>
    <w:p>
      <w:pPr>
        <w:pStyle w:val="ListParagraph"/>
        <w:numPr>
          <w:ilvl w:val="0"/>
          <w:numId w:val="2"/>
        </w:numPr>
        <w:spacing w:after="80"/>
      </w:pPr>
      <w:r>
        <w:rPr>
          <w:sz w:val="22"/>
          <w:szCs w:val="22"/>
        </w:rPr>
        <w:t xml:space="preserve">Box plot - summarizes median, quartiles, and outliers at a glance</w:t>
      </w:r>
    </w:p>
    <w:p>
      <w:pPr>
        <w:pStyle w:val="ListParagraph"/>
        <w:numPr>
          <w:ilvl w:val="0"/>
          <w:numId w:val="2"/>
        </w:numPr>
        <w:spacing w:after="80"/>
      </w:pPr>
      <w:r>
        <w:rPr>
          <w:sz w:val="22"/>
          <w:szCs w:val="22"/>
        </w:rPr>
        <w:t xml:space="preserve">Scatter plot - reveals the relationship between two numeric variables</w:t>
      </w:r>
    </w:p>
    <w:p>
      <w:pPr>
        <w:pStyle w:val="ListParagraph"/>
        <w:numPr>
          <w:ilvl w:val="0"/>
          <w:numId w:val="2"/>
        </w:numPr>
        <w:spacing w:after="80"/>
      </w:pPr>
      <w:r>
        <w:rPr>
          <w:sz w:val="22"/>
          <w:szCs w:val="22"/>
        </w:rPr>
        <w:t xml:space="preserve">Bar chart - compares totals or averages across categories</w:t>
      </w:r>
    </w:p>
    <w:p>
      <w:pPr>
        <w:pStyle w:val="ListParagraph"/>
        <w:numPr>
          <w:ilvl w:val="0"/>
          <w:numId w:val="2"/>
        </w:numPr>
        <w:spacing w:after="80"/>
      </w:pPr>
      <w:r>
        <w:rPr>
          <w:sz w:val="22"/>
          <w:szCs w:val="22"/>
        </w:rPr>
        <w:t xml:space="preserve">Line chart - shows a trend over time</w:t>
      </w:r>
    </w:p>
    <w:p>
      <w:pPr>
        <w:shd w:fill="F1ECE1" w:val="clear"/>
        <w:spacing w:after="160" w:before="80"/>
      </w:pPr>
      <w:r>
        <w:rPr>
          <w:rFonts w:ascii="Courier New" w:cs="Courier New" w:eastAsia="Courier New" w:hAnsi="Courier New"/>
          <w:sz w:val="20"/>
          <w:szCs w:val="20"/>
        </w:rPr>
        <w:t xml:space="preserve">import seaborn as sns
sns.boxplot(data=df, x="course", y="score")</w:t>
      </w:r>
    </w:p>
    <w:p>
      <w:pPr>
        <w:pStyle w:val="Heading1"/>
        <w:spacing w:after="140" w:before="320"/>
      </w:pPr>
      <w:r>
        <w:rPr>
          <w:b/>
          <w:bCs/>
          <w:color w:val="5C7A5E"/>
        </w:rPr>
        <w:t xml:space="preserve">5. Introduction to Machine Learning</w:t>
      </w:r>
    </w:p>
    <w:p>
      <w:pPr>
        <w:spacing w:after="160"/>
      </w:pPr>
      <w:r>
        <w:rPr>
          <w:sz w:val="22"/>
          <w:szCs w:val="22"/>
        </w:rPr>
        <w:t xml:space="preserve">Machine learning is the practice of training algorithms to find patterns in data and make predictions on new, unseen data. It is broadly divided into supervised learning (the data has known labels, e.g. predicting a grade) and unsupervised learning (the data has no labels, e.g. clustering similar students).</w:t>
      </w:r>
    </w:p>
    <w:p>
      <w:pPr>
        <w:pStyle w:val="Heading2"/>
        <w:spacing w:after="100" w:before="160"/>
      </w:pPr>
      <w:r>
        <w:rPr>
          <w:b/>
          <w:bCs/>
          <w:color w:val="3D4A63"/>
        </w:rPr>
        <w:t xml:space="preserve">Common supervised algorithms covered</w:t>
      </w:r>
    </w:p>
    <w:p>
      <w:pPr>
        <w:pStyle w:val="ListParagraph"/>
        <w:numPr>
          <w:ilvl w:val="0"/>
          <w:numId w:val="2"/>
        </w:numPr>
        <w:spacing w:after="80"/>
      </w:pPr>
      <w:r>
        <w:rPr>
          <w:sz w:val="22"/>
          <w:szCs w:val="22"/>
        </w:rPr>
        <w:t xml:space="preserve">Linear Regression - predicts a continuous numeric value</w:t>
      </w:r>
    </w:p>
    <w:p>
      <w:pPr>
        <w:pStyle w:val="ListParagraph"/>
        <w:numPr>
          <w:ilvl w:val="0"/>
          <w:numId w:val="2"/>
        </w:numPr>
        <w:spacing w:after="80"/>
      </w:pPr>
      <w:r>
        <w:rPr>
          <w:sz w:val="22"/>
          <w:szCs w:val="22"/>
        </w:rPr>
        <w:t xml:space="preserve">Logistic Regression - predicts a binary category (pass/fail)</w:t>
      </w:r>
    </w:p>
    <w:p>
      <w:pPr>
        <w:pStyle w:val="ListParagraph"/>
        <w:numPr>
          <w:ilvl w:val="0"/>
          <w:numId w:val="2"/>
        </w:numPr>
        <w:spacing w:after="80"/>
      </w:pPr>
      <w:r>
        <w:rPr>
          <w:sz w:val="22"/>
          <w:szCs w:val="22"/>
        </w:rPr>
        <w:t xml:space="preserve">Decision Trees - splits data using a series of if/else rules</w:t>
      </w:r>
    </w:p>
    <w:p>
      <w:pPr>
        <w:pStyle w:val="ListParagraph"/>
        <w:numPr>
          <w:ilvl w:val="0"/>
          <w:numId w:val="2"/>
        </w:numPr>
        <w:spacing w:after="80"/>
      </w:pPr>
      <w:r>
        <w:rPr>
          <w:sz w:val="22"/>
          <w:szCs w:val="22"/>
        </w:rPr>
        <w:t xml:space="preserve">k-Nearest Neighbors (k-NN) - classifies a point based on its closest neighbors</w:t>
      </w:r>
    </w:p>
    <w:p>
      <w:pPr>
        <w:spacing w:after="160"/>
      </w:pPr>
      <w:r>
        <w:rPr>
          <w:sz w:val="22"/>
          <w:szCs w:val="22"/>
        </w:rPr>
        <w:t xml:space="preserve">Scikit-learn is the standard Python library for building these models with a consistent .fit() / .predict() interface.</w:t>
      </w:r>
    </w:p>
    <w:p>
      <w:pPr>
        <w:pStyle w:val="Heading1"/>
        <w:spacing w:after="140" w:before="320"/>
      </w:pPr>
      <w:r>
        <w:rPr>
          <w:b/>
          <w:bCs/>
          <w:color w:val="5C7A5E"/>
        </w:rPr>
        <w:t xml:space="preserve">6. Model Evaluation</w:t>
      </w:r>
    </w:p>
    <w:p>
      <w:pPr>
        <w:spacing w:after="160"/>
      </w:pPr>
      <w:r>
        <w:rPr>
          <w:sz w:val="22"/>
          <w:szCs w:val="22"/>
        </w:rPr>
        <w:t xml:space="preserve">Before trusting a model, its performance must be measured on data it has not seen during training. The train/test split (commonly 80/20) or k-fold cross-validation are the standard ways to do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5C7A5E" w:val="clear"/>
          </w:tcPr>
          <w:p>
            <w:r>
              <w:rPr>
                <w:b/>
                <w:bCs/>
                <w:color w:val="FFFFFF"/>
                <w:sz w:val="20"/>
                <w:szCs w:val="20"/>
              </w:rPr>
              <w:t xml:space="preserve">Metric</w:t>
            </w:r>
          </w:p>
        </w:tc>
        <w:tc>
          <w:tcPr>
            <w:tcW w:type="dxa" w:w="3000"/>
            <w:shd w:fill="5C7A5E" w:val="clear"/>
          </w:tcPr>
          <w:p>
            <w:r>
              <w:rPr>
                <w:b/>
                <w:bCs/>
                <w:color w:val="FFFFFF"/>
                <w:sz w:val="20"/>
                <w:szCs w:val="20"/>
              </w:rPr>
              <w:t xml:space="preserve">Used For</w:t>
            </w:r>
          </w:p>
        </w:tc>
        <w:tc>
          <w:tcPr>
            <w:tcW w:type="dxa" w:w="3000"/>
            <w:shd w:fill="5C7A5E" w:val="clear"/>
          </w:tcPr>
          <w:p>
            <w:r>
              <w:rPr>
                <w:b/>
                <w:bCs/>
                <w:color w:val="FFFFFF"/>
                <w:sz w:val="20"/>
                <w:szCs w:val="20"/>
              </w:rPr>
              <w:t xml:space="preserve">Interpretation</w:t>
            </w:r>
          </w:p>
        </w:tc>
      </w:tr>
      <w:tr>
        <w:tc>
          <w:tcPr>
            <w:tcW w:type="dxa" w:w="3000"/>
          </w:tcPr>
          <w:p>
            <w:r>
              <w:rPr>
                <w:b w:val="false"/>
                <w:bCs w:val="false"/>
                <w:color w:val="24272B"/>
                <w:sz w:val="20"/>
                <w:szCs w:val="20"/>
              </w:rPr>
              <w:t xml:space="preserve">Accuracy</w:t>
            </w:r>
          </w:p>
        </w:tc>
        <w:tc>
          <w:tcPr>
            <w:tcW w:type="dxa" w:w="3000"/>
          </w:tcPr>
          <w:p>
            <w:r>
              <w:rPr>
                <w:b w:val="false"/>
                <w:bCs w:val="false"/>
                <w:color w:val="24272B"/>
                <w:sz w:val="20"/>
                <w:szCs w:val="20"/>
              </w:rPr>
              <w:t xml:space="preserve">Classification</w:t>
            </w:r>
          </w:p>
        </w:tc>
        <w:tc>
          <w:tcPr>
            <w:tcW w:type="dxa" w:w="3000"/>
          </w:tcPr>
          <w:p>
            <w:r>
              <w:rPr>
                <w:b w:val="false"/>
                <w:bCs w:val="false"/>
                <w:color w:val="24272B"/>
                <w:sz w:val="20"/>
                <w:szCs w:val="20"/>
              </w:rPr>
              <w:t xml:space="preserve">Percent of predictions that were correct</w:t>
            </w:r>
          </w:p>
        </w:tc>
      </w:tr>
      <w:tr>
        <w:tc>
          <w:tcPr>
            <w:tcW w:type="dxa" w:w="3000"/>
          </w:tcPr>
          <w:p>
            <w:r>
              <w:rPr>
                <w:b w:val="false"/>
                <w:bCs w:val="false"/>
                <w:color w:val="24272B"/>
                <w:sz w:val="20"/>
                <w:szCs w:val="20"/>
              </w:rPr>
              <w:t xml:space="preserve">Precision</w:t>
            </w:r>
          </w:p>
        </w:tc>
        <w:tc>
          <w:tcPr>
            <w:tcW w:type="dxa" w:w="3000"/>
          </w:tcPr>
          <w:p>
            <w:r>
              <w:rPr>
                <w:b w:val="false"/>
                <w:bCs w:val="false"/>
                <w:color w:val="24272B"/>
                <w:sz w:val="20"/>
                <w:szCs w:val="20"/>
              </w:rPr>
              <w:t xml:space="preserve">Classification</w:t>
            </w:r>
          </w:p>
        </w:tc>
        <w:tc>
          <w:tcPr>
            <w:tcW w:type="dxa" w:w="3000"/>
          </w:tcPr>
          <w:p>
            <w:r>
              <w:rPr>
                <w:b w:val="false"/>
                <w:bCs w:val="false"/>
                <w:color w:val="24272B"/>
                <w:sz w:val="20"/>
                <w:szCs w:val="20"/>
              </w:rPr>
              <w:t xml:space="preserve">Of predicted positives, how many were correct</w:t>
            </w:r>
          </w:p>
        </w:tc>
      </w:tr>
      <w:tr>
        <w:tc>
          <w:tcPr>
            <w:tcW w:type="dxa" w:w="3000"/>
          </w:tcPr>
          <w:p>
            <w:r>
              <w:rPr>
                <w:b w:val="false"/>
                <w:bCs w:val="false"/>
                <w:color w:val="24272B"/>
                <w:sz w:val="20"/>
                <w:szCs w:val="20"/>
              </w:rPr>
              <w:t xml:space="preserve">Recall</w:t>
            </w:r>
          </w:p>
        </w:tc>
        <w:tc>
          <w:tcPr>
            <w:tcW w:type="dxa" w:w="3000"/>
          </w:tcPr>
          <w:p>
            <w:r>
              <w:rPr>
                <w:b w:val="false"/>
                <w:bCs w:val="false"/>
                <w:color w:val="24272B"/>
                <w:sz w:val="20"/>
                <w:szCs w:val="20"/>
              </w:rPr>
              <w:t xml:space="preserve">Classification</w:t>
            </w:r>
          </w:p>
        </w:tc>
        <w:tc>
          <w:tcPr>
            <w:tcW w:type="dxa" w:w="3000"/>
          </w:tcPr>
          <w:p>
            <w:r>
              <w:rPr>
                <w:b w:val="false"/>
                <w:bCs w:val="false"/>
                <w:color w:val="24272B"/>
                <w:sz w:val="20"/>
                <w:szCs w:val="20"/>
              </w:rPr>
              <w:t xml:space="preserve">Of actual positives, how many were found</w:t>
            </w:r>
          </w:p>
        </w:tc>
      </w:tr>
      <w:tr>
        <w:tc>
          <w:tcPr>
            <w:tcW w:type="dxa" w:w="3000"/>
          </w:tcPr>
          <w:p>
            <w:r>
              <w:rPr>
                <w:b w:val="false"/>
                <w:bCs w:val="false"/>
                <w:color w:val="24272B"/>
                <w:sz w:val="20"/>
                <w:szCs w:val="20"/>
              </w:rPr>
              <w:t xml:space="preserve">RMSE</w:t>
            </w:r>
          </w:p>
        </w:tc>
        <w:tc>
          <w:tcPr>
            <w:tcW w:type="dxa" w:w="3000"/>
          </w:tcPr>
          <w:p>
            <w:r>
              <w:rPr>
                <w:b w:val="false"/>
                <w:bCs w:val="false"/>
                <w:color w:val="24272B"/>
                <w:sz w:val="20"/>
                <w:szCs w:val="20"/>
              </w:rPr>
              <w:t xml:space="preserve">Regression</w:t>
            </w:r>
          </w:p>
        </w:tc>
        <w:tc>
          <w:tcPr>
            <w:tcW w:type="dxa" w:w="3000"/>
          </w:tcPr>
          <w:p>
            <w:r>
              <w:rPr>
                <w:b w:val="false"/>
                <w:bCs w:val="false"/>
                <w:color w:val="24272B"/>
                <w:sz w:val="20"/>
                <w:szCs w:val="20"/>
              </w:rPr>
              <w:t xml:space="preserve">Average magnitude of prediction error</w:t>
            </w:r>
          </w:p>
        </w:tc>
      </w:tr>
      <w:tr>
        <w:tc>
          <w:tcPr>
            <w:tcW w:type="dxa" w:w="3000"/>
          </w:tcPr>
          <w:p>
            <w:r>
              <w:rPr>
                <w:b w:val="false"/>
                <w:bCs w:val="false"/>
                <w:color w:val="24272B"/>
                <w:sz w:val="20"/>
                <w:szCs w:val="20"/>
              </w:rPr>
              <w:t xml:space="preserve">R-squared</w:t>
            </w:r>
          </w:p>
        </w:tc>
        <w:tc>
          <w:tcPr>
            <w:tcW w:type="dxa" w:w="3000"/>
          </w:tcPr>
          <w:p>
            <w:r>
              <w:rPr>
                <w:b w:val="false"/>
                <w:bCs w:val="false"/>
                <w:color w:val="24272B"/>
                <w:sz w:val="20"/>
                <w:szCs w:val="20"/>
              </w:rPr>
              <w:t xml:space="preserve">Regression</w:t>
            </w:r>
          </w:p>
        </w:tc>
        <w:tc>
          <w:tcPr>
            <w:tcW w:type="dxa" w:w="3000"/>
          </w:tcPr>
          <w:p>
            <w:r>
              <w:rPr>
                <w:b w:val="false"/>
                <w:bCs w:val="false"/>
                <w:color w:val="24272B"/>
                <w:sz w:val="20"/>
                <w:szCs w:val="20"/>
              </w:rPr>
              <w:t xml:space="preserve">Proportion of variance explained by the model</w:t>
            </w:r>
          </w:p>
        </w:tc>
      </w:tr>
    </w:tbl>
    <w:p>
      <w:pPr>
        <w:spacing w:after="160"/>
      </w:pPr>
      <w:r>
        <w:t xml:space="preserve"/>
      </w:r>
    </w:p>
    <w:p>
      <w:pPr>
        <w:spacing w:after="160"/>
      </w:pPr>
      <w:r>
        <w:rPr>
          <w:sz w:val="22"/>
          <w:szCs w:val="22"/>
        </w:rPr>
        <w:t xml:space="preserve">Overfitting occurs when a model performs very well on training data but poorly on new data, usually because it memorized noise rather than learning the underlying pattern. Regularization and cross-validation help reduce overfitting.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2026-08-06T22:11:25.388Z</dcterms:created>
  <dcterms:modified xsi:type="dcterms:W3CDTF">2026-08-06T22:11:25.388Z</dcterms:modified>
</cp:coreProperties>
</file>

<file path=docProps/custom.xml><?xml version="1.0" encoding="utf-8"?>
<Properties xmlns="http://schemas.openxmlformats.org/officeDocument/2006/custom-properties" xmlns:vt="http://schemas.openxmlformats.org/officeDocument/2006/docPropsVTypes"/>
</file>