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ad-tutor-dataset-documentation"/>
      <w:r>
        <w:t xml:space="preserve">Lead-Tutor Dataset — Documentation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NeuroMappers — DBS Electrode Precise Localization in the Brain (BMIA Project #2)</w:t>
      </w:r>
      <w:r>
        <w:t xml:space="preserve"> </w:t>
      </w:r>
      <w:r>
        <w:rPr>
          <w:b/>
        </w:rPr>
        <w:t xml:space="preserve">Team:</w:t>
      </w:r>
      <w:r>
        <w:t xml:space="preserve"> </w:t>
      </w:r>
      <w:r>
        <w:t xml:space="preserve">Samad Ullah (USC), Catarina Souto (University of Porto)</w:t>
      </w:r>
      <w:r>
        <w:t xml:space="preserve"> </w:t>
      </w:r>
      <w:r>
        <w:rPr>
          <w:b/>
        </w:rPr>
        <w:t xml:space="preserve">Supervisor:</w:t>
      </w:r>
      <w:r>
        <w:t xml:space="preserve"> </w:t>
      </w:r>
      <w:r>
        <w:t xml:space="preserve">Prof. João Paulo Cunha</w:t>
      </w:r>
      <w:r>
        <w:t xml:space="preserve"> </w:t>
      </w:r>
      <w:r>
        <w:rPr>
          <w:b/>
        </w:rPr>
        <w:t xml:space="preserve">Document prepared:</w:t>
      </w:r>
      <w:r>
        <w:t xml:space="preserve"> </w:t>
      </w:r>
      <w:r>
        <w:t xml:space="preserve">Sprint 1 review (2026-04-23)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taset-identity"/>
      <w:r>
        <w:t xml:space="preserve">1. Dataset identity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Name:</w:t>
      </w:r>
      <w:r>
        <w:t xml:space="preserve"> </w:t>
      </w:r>
      <w:r>
        <w:t xml:space="preserve">Lead-Tutor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Publication:</w:t>
      </w:r>
      <w:r>
        <w:t xml:space="preserve"> </w:t>
      </w:r>
      <w:r>
        <w:t xml:space="preserve">Madan et al.,</w:t>
      </w:r>
      <w:r>
        <w:t xml:space="preserve"> </w:t>
      </w:r>
      <w:r>
        <w:rPr>
          <w:i/>
        </w:rPr>
        <w:t xml:space="preserve">Aperture Neuro</w:t>
      </w:r>
      <w:r>
        <w:t xml:space="preserve">, 2025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DOI:</w:t>
      </w:r>
      <w:r>
        <w:t xml:space="preserve"> </w:t>
      </w:r>
      <w:hyperlink r:id="rId22">
        <w:r>
          <w:rPr>
            <w:rStyle w:val="Hyperlink"/>
          </w:rPr>
          <w:t xml:space="preserve">10.52294/001c.129658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OSF project:</w:t>
      </w:r>
      <w:r>
        <w:t xml:space="preserve"> </w:t>
      </w:r>
      <w:r>
        <w:t xml:space="preserve">https://osf.io/jxecg/?view_only=f2765a6aa3604dea8afa14365b70381c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 institution:</w:t>
      </w:r>
      <w:r>
        <w:t xml:space="preserve"> </w:t>
      </w:r>
      <w:r>
        <w:t xml:space="preserve">Brigham &amp; Women’s Hospital (IRB #2022P001215)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License / access:</w:t>
      </w:r>
      <w:r>
        <w:t xml:space="preserve"> </w:t>
      </w:r>
      <w:r>
        <w:t xml:space="preserve">Public via OSF, view-only link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Standards:</w:t>
      </w:r>
      <w:r>
        <w:t xml:space="preserve"> </w:t>
      </w:r>
      <w:r>
        <w:t xml:space="preserve">BIDS 1.6.0, organized for Lead-DBS v3.1</w:t>
      </w:r>
    </w:p>
    <w:p>
      <w:pPr>
        <w:pStyle w:val="Heading2"/>
      </w:pPr>
      <w:bookmarkStart w:id="23" w:name="cohort-10-dbs-patients"/>
      <w:r>
        <w:t xml:space="preserve">2. Cohort — 10 DBS patients</w:t>
      </w:r>
      <w:bookmarkEnd w:id="23"/>
    </w:p>
    <w:p>
      <w:pPr>
        <w:pStyle w:val="FirstParagraph"/>
      </w:pPr>
      <w:r>
        <w:t xml:space="preserve">All 10 patients are bilaterally implanted. Patient IDs are 5-digit anonymized codes (NOT sequential</w:t>
      </w:r>
      <w:r>
        <w:t xml:space="preserve"> </w:t>
      </w:r>
      <w:r>
        <w:rPr>
          <w:rStyle w:val="VerbatimChar"/>
        </w:rPr>
        <w:t xml:space="preserve">sub-01/sub-02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Subject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Electrode vendor / 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Directional?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15454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29781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33544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39468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57245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76325</w:t>
            </w:r>
          </w:p>
        </w:tc>
        <w:tc>
          <w:p>
            <w:pPr>
              <w:pStyle w:val="Compact"/>
              <w:jc w:val="left"/>
            </w:pPr>
            <w:r>
              <w:t xml:space="preserve">Epilepsy</w:t>
            </w:r>
          </w:p>
        </w:tc>
        <w:tc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(non-directional)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78754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80206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GPi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84257</w:t>
            </w:r>
          </w:p>
        </w:tc>
        <w:tc>
          <w:p>
            <w:pPr>
              <w:pStyle w:val="Compact"/>
              <w:jc w:val="left"/>
            </w:pPr>
            <w:r>
              <w:t xml:space="preserve">Parkinson’s</w:t>
            </w:r>
          </w:p>
        </w:tc>
        <w:tc>
          <w:p>
            <w:pPr>
              <w:pStyle w:val="Compact"/>
              <w:jc w:val="left"/>
            </w:pPr>
            <w:r>
              <w:t xml:space="preserve">STN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93127</w:t>
            </w:r>
          </w:p>
        </w:tc>
        <w:tc>
          <w:p>
            <w:pPr>
              <w:pStyle w:val="Compact"/>
              <w:jc w:val="left"/>
            </w:pPr>
            <w:r>
              <w:t xml:space="preserve">Dystonia</w:t>
            </w:r>
          </w:p>
        </w:tc>
        <w:tc>
          <w:p>
            <w:pPr>
              <w:pStyle w:val="Compact"/>
              <w:jc w:val="left"/>
            </w:pPr>
            <w:r>
              <w:t xml:space="preserve">VIM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</w:rPr>
        <w:t xml:space="preserve">Conditions:</w:t>
      </w:r>
      <w:r>
        <w:t xml:space="preserve"> </w:t>
      </w:r>
      <w:r>
        <w:t xml:space="preserve">8 Parkinson’s, 1 Dystonia, 1 Epilepsy</w:t>
      </w:r>
      <w:r>
        <w:t xml:space="preserve"> </w:t>
      </w:r>
      <w:r>
        <w:rPr>
          <w:b/>
        </w:rPr>
        <w:t xml:space="preserve">Targets:</w:t>
      </w:r>
      <w:r>
        <w:t xml:space="preserve"> </w:t>
      </w:r>
      <w:r>
        <w:t xml:space="preserve">STN ×7, GPi ×1, VIM ×1, CM ×1</w:t>
      </w:r>
      <w:r>
        <w:t xml:space="preserve"> </w:t>
      </w:r>
      <w:r>
        <w:rPr>
          <w:b/>
        </w:rPr>
        <w:t xml:space="preserve">Vendors:</w:t>
      </w:r>
      <w:r>
        <w:t xml:space="preserve"> </w:t>
      </w:r>
      <w:r>
        <w:t xml:space="preserve">3 (Medtronic, Boston Scientific, Abbott) across 4 models (B33005, 3387, DB-2202, 6172)</w:t>
      </w:r>
    </w:p>
    <w:p>
      <w:pPr>
        <w:pStyle w:val="Heading2"/>
      </w:pPr>
      <w:bookmarkStart w:id="24" w:name="what-is-actually-shipped-on-osf"/>
      <w:r>
        <w:t xml:space="preserve">3. What is actually shipped on OSF</w:t>
      </w:r>
      <w:bookmarkEnd w:id="24"/>
    </w:p>
    <w:p>
      <w:pPr>
        <w:pStyle w:val="FirstParagraph"/>
      </w:pPr>
      <w:r>
        <w:t xml:space="preserve">Contrary to how the paper frames Lead-DBS outputs, the OSF download contains</w:t>
      </w:r>
      <w:r>
        <w:t xml:space="preserve"> </w:t>
      </w:r>
      <w:r>
        <w:rPr>
          <w:b/>
        </w:rPr>
        <w:t xml:space="preserve">raw native-space NIfTI images only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data/raw/LeadTutor/</w:t>
      </w:r>
      <w:r>
        <w:br/>
      </w:r>
      <w:r>
        <w:rPr>
          <w:rStyle w:val="VerbatimChar"/>
        </w:rPr>
        <w:t xml:space="preserve">├── dataset_description.json          # BIDS 1.6.0 / Lead-DBS v3.1</w:t>
      </w:r>
      <w:r>
        <w:br/>
      </w:r>
      <w:r>
        <w:rPr>
          <w:rStyle w:val="VerbatimChar"/>
        </w:rPr>
        <w:t xml:space="preserve">├── rawdata/</w:t>
      </w:r>
      <w:r>
        <w:br/>
      </w:r>
      <w:r>
        <w:rPr>
          <w:rStyle w:val="VerbatimChar"/>
        </w:rPr>
        <w:t xml:space="preserve">│   └── sub-XXXXX/</w:t>
      </w:r>
      <w:r>
        <w:br/>
      </w:r>
      <w:r>
        <w:rPr>
          <w:rStyle w:val="VerbatimChar"/>
        </w:rPr>
        <w:t xml:space="preserve">│       ├── ses-preop/anat/           # pre-operative MRI (T1w, often T2w, rarely FLAIR/SWI)</w:t>
      </w:r>
      <w:r>
        <w:br/>
      </w:r>
      <w:r>
        <w:rPr>
          <w:rStyle w:val="VerbatimChar"/>
        </w:rPr>
        <w:t xml:space="preserve">│       └── ses-postop/anat/          # post-operative CT</w:t>
      </w:r>
      <w:r>
        <w:br/>
      </w:r>
      <w:r>
        <w:rPr>
          <w:rStyle w:val="VerbatimChar"/>
        </w:rPr>
        <w:t xml:space="preserve">├── derivatives/</w:t>
      </w:r>
      <w:r>
        <w:br/>
      </w:r>
      <w:r>
        <w:rPr>
          <w:rStyle w:val="VerbatimChar"/>
        </w:rPr>
        <w:t xml:space="preserve">│   └── leaddbs/sub-XXXXX/prefs/      # Lead-DBS UI prefs only (*.json, *_uiprefs.mat)</w:t>
      </w:r>
      <w:r>
        <w:br/>
      </w:r>
      <w:r>
        <w:rPr>
          <w:rStyle w:val="VerbatimChar"/>
        </w:rPr>
        <w:t xml:space="preserve">└── sourcedata/                       # empty</w:t>
      </w:r>
    </w:p>
    <w:p>
      <w:pPr>
        <w:pStyle w:val="FirstParagraph"/>
      </w:pPr>
      <w:r>
        <w:rPr>
          <w:b/>
        </w:rPr>
        <w:t xml:space="preserve">31 NIfTI files total across the 10 subjects.</w:t>
      </w:r>
    </w:p>
    <w:p>
      <w:pPr>
        <w:pStyle w:val="BodyText"/>
      </w:pPr>
      <w:r>
        <w:t xml:space="preserve">What is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included (and therefore must be produced by our pipeline):</w:t>
      </w:r>
      <w:r>
        <w:t xml:space="preserve"> </w:t>
      </w:r>
      <w:r>
        <w:t xml:space="preserve">- No pre-registered CT↔MRI volumes</w:t>
      </w:r>
      <w:r>
        <w:t xml:space="preserve"> </w:t>
      </w:r>
      <w:r>
        <w:t xml:space="preserve">- No MNI-normalized images</w:t>
      </w:r>
      <w:r>
        <w:t xml:space="preserve"> </w:t>
      </w:r>
      <w:r>
        <w:t xml:space="preserve">- No electrode reconstructions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expert ground-truth electrode coordinates</w:t>
      </w:r>
      <w:r>
        <w:t xml:space="preserve"> </w:t>
      </w:r>
      <w:r>
        <w:t xml:space="preserve">(needs to be requested from Prof. Cunha for Stage 5 evaluation)</w:t>
      </w:r>
    </w:p>
    <w:p>
      <w:pPr>
        <w:pStyle w:val="Heading2"/>
      </w:pPr>
      <w:bookmarkStart w:id="25" w:name="modality-coverage-per-subject"/>
      <w:r>
        <w:t xml:space="preserve">4. Modality coverage per subject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Every subject has</w:t>
      </w:r>
      <w:r>
        <w:t xml:space="preserve"> </w:t>
      </w:r>
      <w:r>
        <w:rPr>
          <w:b/>
        </w:rPr>
        <w:t xml:space="preserve">T1w (preop)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CT (postop)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T2w:</w:t>
      </w:r>
      <w:r>
        <w:t xml:space="preserve"> </w:t>
      </w:r>
      <w:r>
        <w:t xml:space="preserve">all subjects except 76325 (T1w + CT only).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FLAIR:</w:t>
      </w:r>
      <w:r>
        <w:t xml:space="preserve"> </w:t>
      </w:r>
      <w:r>
        <w:t xml:space="preserve">only 2 subjects — 39468 and 93127.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SWI:</w:t>
      </w:r>
      <w:r>
        <w:t xml:space="preserve"> </w:t>
      </w:r>
      <w:r>
        <w:t xml:space="preserve">only subject 39468 (listed as FLAIR in paper Table 1 — see §7).</w:t>
      </w:r>
    </w:p>
    <w:p>
      <w:pPr>
        <w:pStyle w:val="Heading2"/>
      </w:pPr>
      <w:bookmarkStart w:id="26" w:name="X14f93b2ce02f9705e814a6f96c03fff0fd693b2"/>
      <w:r>
        <w:t xml:space="preserve">5. Per-file inspection table —</w:t>
      </w:r>
      <w:r>
        <w:t xml:space="preserve"> </w:t>
      </w:r>
      <w:r>
        <w:rPr>
          <w:rStyle w:val="VerbatimChar"/>
        </w:rPr>
        <w:t xml:space="preserve">results/sprint1_data_inspection.csv</w:t>
      </w:r>
      <w:bookmarkEnd w:id="26"/>
    </w:p>
    <w:p>
      <w:pPr>
        <w:pStyle w:val="FirstParagraph"/>
      </w:pPr>
      <w:r>
        <w:t xml:space="preserve">Generated by</w:t>
      </w:r>
      <w:r>
        <w:t xml:space="preserve"> </w:t>
      </w:r>
      <w:r>
        <w:rPr>
          <w:rStyle w:val="VerbatimChar"/>
        </w:rPr>
        <w:t xml:space="preserve">notebooks/exploration.ipynb</w:t>
      </w:r>
      <w:r>
        <w:t xml:space="preserve"> </w:t>
      </w:r>
      <w:r>
        <w:t xml:space="preserve">(function</w:t>
      </w:r>
      <w:r>
        <w:t xml:space="preserve"> </w:t>
      </w:r>
      <w:r>
        <w:rPr>
          <w:rStyle w:val="VerbatimChar"/>
        </w:rPr>
        <w:t xml:space="preserve">inspect_many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src/load_and_inspect.py</w:t>
      </w:r>
      <w:r>
        <w:t xml:space="preserve">). One row per NIfTI file. Columns:</w:t>
      </w:r>
    </w:p>
    <w:tbl>
      <w:tblPr>
        <w:tblStyle w:val="Table"/>
        <w:tblW w:type="pct" w:w="5000.0"/>
        <w:tblLook w:firstRow="1"/>
      </w:tblPr>
      <w:tblGrid>
        <w:gridCol w:w="1920"/>
        <w:gridCol w:w="2160"/>
        <w:gridCol w:w="38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to the NIfTI file</w:t>
            </w:r>
          </w:p>
        </w:tc>
        <w:tc>
          <w:p>
            <w:pPr>
              <w:pStyle w:val="Compact"/>
              <w:jc w:val="left"/>
            </w:pPr>
            <w:r>
              <w:t xml:space="preserve">Identifies subject, session (preop/postop), and modality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modality_guess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T1w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T2w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FLAIR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SWI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, inferred from filename</w:t>
            </w:r>
          </w:p>
        </w:tc>
        <w:tc>
          <w:p>
            <w:pPr>
              <w:pStyle w:val="Compact"/>
              <w:jc w:val="left"/>
            </w:pPr>
            <w:r>
              <w:t xml:space="preserve">Separates MRI modalities from CT for pipeline branching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NIfTI-1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NIfTI-2</w:t>
            </w:r>
          </w:p>
        </w:tc>
        <w:tc>
          <w:p>
            <w:pPr>
              <w:pStyle w:val="Compact"/>
              <w:jc w:val="left"/>
            </w:pPr>
            <w:r>
              <w:t xml:space="preserve">All 31 files are NIfTI-1; confirms standard loading 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shape</w:t>
            </w:r>
          </w:p>
        </w:tc>
        <w:tc>
          <w:p>
            <w:pPr>
              <w:pStyle w:val="Compact"/>
              <w:jc w:val="left"/>
            </w:pPr>
            <w:r>
              <w:t xml:space="preserve">Voxel grid dimensions</w:t>
            </w:r>
            <w:r>
              <w:t xml:space="preserve"> </w:t>
            </w:r>
            <w:r>
              <w:rPr>
                <w:rStyle w:val="VerbatimChar"/>
              </w:rPr>
              <w:t xml:space="preserve">(X, Y, Z)</w:t>
            </w:r>
          </w:p>
        </w:tc>
        <w:tc>
          <w:p>
            <w:pPr>
              <w:pStyle w:val="Compact"/>
              <w:jc w:val="left"/>
            </w:pPr>
            <w:r>
              <w:t xml:space="preserve">MRI and CT shapes differ; affects memory and resampling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voxel_spacing_mm</w:t>
            </w:r>
          </w:p>
        </w:tc>
        <w:tc>
          <w:p>
            <w:pPr>
              <w:pStyle w:val="Compact"/>
              <w:jc w:val="left"/>
            </w:pPr>
            <w:r>
              <w:t xml:space="preserve">Physical voxel size in mm along each axis</w:t>
            </w:r>
          </w:p>
        </w:tc>
        <w:tc>
          <w:p>
            <w:pPr>
              <w:pStyle w:val="Compact"/>
              <w:jc w:val="left"/>
            </w:pPr>
            <w:r>
              <w:t xml:space="preserve">Drives the</w:t>
            </w:r>
            <w:r>
              <w:t xml:space="preserve"> </w:t>
            </w:r>
            <w:r>
              <w:rPr>
                <w:b/>
              </w:rPr>
              <w:t xml:space="preserve">resampling</w:t>
            </w:r>
            <w:r>
              <w:t xml:space="preserve"> </w:t>
            </w:r>
            <w:r>
              <w:t xml:space="preserve">step before registration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orientation</w:t>
            </w:r>
          </w:p>
        </w:tc>
        <w:tc>
          <w:p>
            <w:pPr>
              <w:pStyle w:val="Compact"/>
              <w:jc w:val="left"/>
            </w:pPr>
            <w:r>
              <w:t xml:space="preserve">3-letter axis code (e.g.,</w:t>
            </w:r>
            <w:r>
              <w:t xml:space="preserve"> </w:t>
            </w:r>
            <w:r>
              <w:rPr>
                <w:rStyle w:val="VerbatimChar"/>
              </w:rPr>
              <w:t xml:space="preserve">('L','A','S')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Drives the</w:t>
            </w:r>
            <w:r>
              <w:t xml:space="preserve"> </w:t>
            </w:r>
            <w:r>
              <w:rPr>
                <w:b/>
              </w:rPr>
              <w:t xml:space="preserve">reorientation</w:t>
            </w:r>
            <w:r>
              <w:t xml:space="preserve"> </w:t>
            </w:r>
            <w:r>
              <w:t xml:space="preserve">step before fusion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dtype</w:t>
            </w:r>
          </w:p>
        </w:tc>
        <w:tc>
          <w:p>
            <w:pPr>
              <w:pStyle w:val="Compact"/>
              <w:jc w:val="left"/>
            </w:pPr>
            <w:r>
              <w:t xml:space="preserve">Numeric type of voxel data (</w:t>
            </w:r>
            <w:r>
              <w:rPr>
                <w:rStyle w:val="VerbatimChar"/>
              </w:rPr>
              <w:t xml:space="preserve">float64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int16</w:t>
            </w:r>
            <w:r>
              <w:t xml:space="preserve">, …)</w:t>
            </w:r>
          </w:p>
        </w:tc>
        <w:tc>
          <w:p>
            <w:pPr>
              <w:pStyle w:val="Compact"/>
              <w:jc w:val="left"/>
            </w:pPr>
            <w:r>
              <w:t xml:space="preserve">Affects memory footprint and NaN possibility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min_intensity</w:t>
            </w:r>
          </w:p>
        </w:tc>
        <w:tc>
          <w:p>
            <w:pPr>
              <w:pStyle w:val="Compact"/>
              <w:jc w:val="left"/>
            </w:pPr>
            <w:r>
              <w:t xml:space="preserve">Minimum voxel value (NaN-safe)</w:t>
            </w:r>
          </w:p>
        </w:tc>
        <w:tc>
          <w:p>
            <w:pPr>
              <w:pStyle w:val="Compact"/>
              <w:jc w:val="left"/>
            </w:pPr>
            <w:r>
              <w:t xml:space="preserve">CT ~ −1024 HU (air); MRI ~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max_intensity</w:t>
            </w:r>
          </w:p>
        </w:tc>
        <w:tc>
          <w:p>
            <w:pPr>
              <w:pStyle w:val="Compact"/>
              <w:jc w:val="left"/>
            </w:pPr>
            <w:r>
              <w:t xml:space="preserve">Maximum voxel value (NaN-safe)</w:t>
            </w:r>
          </w:p>
        </w:tc>
        <w:tc>
          <w:p>
            <w:pPr>
              <w:pStyle w:val="Compact"/>
              <w:jc w:val="left"/>
            </w:pPr>
            <w:r>
              <w:t xml:space="preserve">CT bone/electrodes 3000+ HU; MRI varies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nan_count</w:t>
            </w:r>
          </w:p>
        </w:tc>
        <w:tc>
          <w:p>
            <w:pPr>
              <w:pStyle w:val="Compact"/>
              <w:jc w:val="left"/>
            </w:pPr>
            <w:r>
              <w:t xml:space="preserve">Number of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voxels</w:t>
            </w:r>
          </w:p>
        </w:tc>
        <w:tc>
          <w:p>
            <w:pPr>
              <w:pStyle w:val="Compact"/>
              <w:jc w:val="left"/>
            </w:pPr>
            <w:r>
              <w:t xml:space="preserve">Quality flag — see §7 for sub-39468</w:t>
            </w:r>
          </w:p>
        </w:tc>
      </w:tr>
    </w:tbl>
    <w:p>
      <w:pPr>
        <w:pStyle w:val="Heading2"/>
      </w:pPr>
      <w:bookmarkStart w:id="27" w:name="Xf3783a85ff459400b72a784109f70acf2c71856"/>
      <w:r>
        <w:t xml:space="preserve">6. Data heterogeneity (findings that drive pipeline design)</w:t>
      </w:r>
      <w:bookmarkEnd w:id="27"/>
    </w:p>
    <w:p>
      <w:pPr>
        <w:pStyle w:val="FirstParagraph"/>
      </w:pPr>
      <w:r>
        <w:rPr>
          <w:b/>
        </w:rPr>
        <w:t xml:space="preserve">Orientations — 4 distinct ones across 31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(L, A, S)</w:t>
      </w:r>
      <w:r>
        <w:t xml:space="preserve"> </w:t>
      </w:r>
      <w:r>
        <w:t xml:space="preserve">— majority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(R, A, 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(P, S, 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(R, S, A)</w:t>
      </w:r>
    </w:p>
    <w:p>
      <w:pPr>
        <w:pStyle w:val="BodyText"/>
      </w:pPr>
      <w:r>
        <w:t xml:space="preserve">→ Reorientation to a common frame (e.g., RAS) is</w:t>
      </w:r>
      <w:r>
        <w:t xml:space="preserve"> </w:t>
      </w:r>
      <w:r>
        <w:rPr>
          <w:b/>
        </w:rPr>
        <w:t xml:space="preserve">mandatory</w:t>
      </w:r>
      <w:r>
        <w:t xml:space="preserve"> </w:t>
      </w:r>
      <w:r>
        <w:t xml:space="preserve">before registration.</w:t>
      </w:r>
    </w:p>
    <w:p>
      <w:pPr>
        <w:pStyle w:val="BodyText"/>
      </w:pPr>
      <w:r>
        <w:rPr>
          <w:b/>
        </w:rPr>
        <w:t xml:space="preserve">Voxel spacing: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CT:</w:t>
      </w:r>
      <w:r>
        <w:t xml:space="preserve"> </w:t>
      </w:r>
      <w:r>
        <w:t xml:space="preserve">~0.4–0.5 mm in-plane × 0.5–2 mm slice thickness (anisotropic, fine in-plane)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T1w:</w:t>
      </w:r>
      <w:r>
        <w:t xml:space="preserve"> </w:t>
      </w:r>
      <w:r>
        <w:t xml:space="preserve">mostly isotropic ~1 mm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T2w:</w:t>
      </w:r>
      <w:r>
        <w:t xml:space="preserve"> </w:t>
      </w:r>
      <w:r>
        <w:t xml:space="preserve">anisotropic, slice thickness 1.2–3 mm</w:t>
      </w:r>
    </w:p>
    <w:p>
      <w:pPr>
        <w:pStyle w:val="BodyText"/>
      </w:pPr>
      <w:r>
        <w:t xml:space="preserve">→ Resampling to a common grid is required before multimodal fusion.</w:t>
      </w:r>
    </w:p>
    <w:p>
      <w:pPr>
        <w:pStyle w:val="BodyText"/>
      </w:pPr>
      <w:r>
        <w:rPr>
          <w:b/>
        </w:rPr>
        <w:t xml:space="preserve">File format:</w:t>
      </w:r>
      <w:r>
        <w:t xml:space="preserve"> </w:t>
      </w:r>
      <w:r>
        <w:t xml:space="preserve">all 31 files are NIfTI-1; all load as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via nibabel</w:t>
      </w:r>
      <w:r>
        <w:t xml:space="preserve"> </w:t>
      </w:r>
      <w:r>
        <w:rPr>
          <w:rStyle w:val="VerbatimChar"/>
        </w:rPr>
        <w:t xml:space="preserve">dataobj</w:t>
      </w:r>
      <w:r>
        <w:t xml:space="preserve">.</w:t>
      </w:r>
    </w:p>
    <w:p>
      <w:pPr>
        <w:pStyle w:val="Heading2"/>
      </w:pPr>
      <w:bookmarkStart w:id="28" w:name="Xf9170248c4840294f9ca1a0d893a9cfacd6daca"/>
      <w:r>
        <w:t xml:space="preserve">7. Data-quality issues flagged for Prof. Cunha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sub-39468 has SWI, not FLAIR</w:t>
      </w:r>
      <w:r>
        <w:t xml:space="preserve"> </w:t>
      </w:r>
      <w:r>
        <w:t xml:space="preserve">— the paper (Table 1) lists this subject as having FLAIR, but the file is actually Susceptibility-Weighted Imaging. Filename and header both confirm SWI.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sub-39468 post-op CT has ~7,452,385 NaN voxels (~21 % of the volume)</w:t>
      </w:r>
      <w:r>
        <w:t xml:space="preserve"> </w:t>
      </w:r>
      <w:r>
        <w:t xml:space="preserve">— the CT is partially corrupted / contains large regions of undefined data. Cannot be registered or resampled without explicit NaN handling. Needs a decision on whether to include or exclude this subject.</w:t>
      </w:r>
    </w:p>
    <w:p>
      <w:pPr>
        <w:pStyle w:val="Heading2"/>
      </w:pPr>
      <w:bookmarkStart w:id="29" w:name="X159860816debe9bf74e219f2ff5090f47bd3a08"/>
      <w:r>
        <w:t xml:space="preserve">8. Sprint 1 code that produced this documentation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src/config.py</w:t>
      </w:r>
      <w:r>
        <w:t xml:space="preserve"> </w:t>
      </w:r>
      <w:r>
        <w:t xml:space="preserve">— paths, patient IDs, modality catalogue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src/utils.py</w:t>
      </w:r>
      <w:r>
        <w:t xml:space="preserve"> </w:t>
      </w:r>
      <w:r>
        <w:t xml:space="preserve">— logger +</w:t>
      </w:r>
      <w:r>
        <w:t xml:space="preserve"> </w:t>
      </w:r>
      <w:r>
        <w:rPr>
          <w:rStyle w:val="VerbatimChar"/>
        </w:rPr>
        <w:t xml:space="preserve">ensure_dir</w:t>
      </w:r>
      <w:r>
        <w:t xml:space="preserve"> </w:t>
      </w:r>
      <w:r>
        <w:t xml:space="preserve">helpers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src/load_and_inspect.py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inspect_volume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inspect_many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find_nifti_files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VolumeInfo</w:t>
      </w:r>
      <w:r>
        <w:t xml:space="preserve"> </w:t>
      </w:r>
      <w:r>
        <w:t xml:space="preserve">dataclass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notebooks/exploration.ipynb</w:t>
      </w:r>
      <w:r>
        <w:t xml:space="preserve"> </w:t>
      </w:r>
      <w:r>
        <w:t xml:space="preserve">— reproducible discovery → load → inspect → visualize workflow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results/sprint1_data_inspection.csv</w:t>
      </w:r>
      <w:r>
        <w:t xml:space="preserve"> </w:t>
      </w:r>
      <w:r>
        <w:t xml:space="preserve">— output table, 31 rows</w:t>
      </w:r>
    </w:p>
    <w:p>
      <w:pPr>
        <w:pStyle w:val="Heading2"/>
      </w:pPr>
      <w:bookmarkStart w:id="30" w:name="X7cc8bc04a52eac1c064a1f3e3560d0698d62eea"/>
      <w:r>
        <w:t xml:space="preserve">9. Open questions for Prof. Cunha (Session #2, 2026-04-24)</w:t>
      </w:r>
      <w:bookmarkEnd w:id="30"/>
    </w:p>
    <w:p>
      <w:pPr>
        <w:numPr>
          <w:ilvl w:val="0"/>
          <w:numId w:val="1005"/>
        </w:numPr>
        <w:pStyle w:val="Compact"/>
      </w:pPr>
      <w:r>
        <w:t xml:space="preserve">Where are the</w:t>
      </w:r>
      <w:r>
        <w:t xml:space="preserve"> </w:t>
      </w:r>
      <w:r>
        <w:rPr>
          <w:b/>
        </w:rPr>
        <w:t xml:space="preserve">expert electrode coordinates</w:t>
      </w:r>
      <w:r>
        <w:t xml:space="preserve"> </w:t>
      </w:r>
      <w:r>
        <w:t xml:space="preserve">stored? OSF download does not include them, but they are needed for Stage 5 quantitative evaluation.</w:t>
      </w:r>
    </w:p>
    <w:p>
      <w:pPr>
        <w:numPr>
          <w:ilvl w:val="0"/>
          <w:numId w:val="1005"/>
        </w:numPr>
        <w:pStyle w:val="Compact"/>
      </w:pPr>
      <w:r>
        <w:t xml:space="preserve">Should sub-39468 be</w:t>
      </w:r>
      <w:r>
        <w:t xml:space="preserve"> </w:t>
      </w:r>
      <w:r>
        <w:rPr>
          <w:b/>
        </w:rPr>
        <w:t xml:space="preserve">excluded</w:t>
      </w:r>
      <w:r>
        <w:t xml:space="preserve"> </w:t>
      </w:r>
      <w:r>
        <w:t xml:space="preserve">from the cohort because of the CT NaN problem, or should we implement a NaN-handling step?</w:t>
      </w:r>
    </w:p>
    <w:p>
      <w:pPr>
        <w:numPr>
          <w:ilvl w:val="0"/>
          <w:numId w:val="1005"/>
        </w:numPr>
        <w:pStyle w:val="Compact"/>
      </w:pPr>
      <w:r>
        <w:t xml:space="preserve">Registration scope — confirm we implement</w:t>
      </w:r>
      <w:r>
        <w:t xml:space="preserve"> </w:t>
      </w:r>
      <w:r>
        <w:rPr>
          <w:b/>
        </w:rPr>
        <w:t xml:space="preserve">Option 1</w:t>
      </w:r>
      <w:r>
        <w:t xml:space="preserve"> </w:t>
      </w:r>
      <w:r>
        <w:t xml:space="preserve">(rigid MRI↔CT with mutual information via SimpleITK) from scratch, since no pre-registered volumes are shipped.</w:t>
      </w:r>
    </w:p>
    <w:p>
      <w:pPr>
        <w:numPr>
          <w:ilvl w:val="0"/>
          <w:numId w:val="1005"/>
        </w:numPr>
        <w:pStyle w:val="Compact"/>
      </w:pPr>
      <w:r>
        <w:t xml:space="preserve">Target/patient subset — do we process all 10 patients and all 4 targets, or a subset?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doi.org/10.52294/001c.129658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doi.org/10.52294/001c.12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2026-04-23T11:51:52Z</dcterms:created>
  <dcterms:modified xsi:type="dcterms:W3CDTF">2026-04-23T11:51:52Z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