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DBS Project Sprint Plan and Task Allocation</w:t>
      </w:r>
    </w:p>
    <w:p>
      <w:pPr>
        <w:pStyle w:val="Subtitle"/>
        <w:jc w:val="center"/>
      </w:pPr>
      <w:r>
        <w:t>Biomedical Image Analysis (BMIA) • Project #2 – DBS Electrode Precise Localization in the Brain</w:t>
        <w:br/>
      </w:r>
      <w:r>
        <w:t>Prepared for Samad Ullah and Catarina Souto</w:t>
      </w:r>
    </w:p>
    <w:tbl>
      <w:tblPr>
        <w:tblStyle w:val="TableGrid"/>
        <w:tblW w:type="auto" w:w="0"/>
        <w:jc w:val="center"/>
        <w:tblLook w:firstColumn="1" w:firstRow="1" w:lastColumn="0" w:lastRow="0" w:noHBand="0" w:noVBand="1" w:val="04A0"/>
      </w:tblPr>
      <w:tblGrid>
        <w:gridCol w:w="2551"/>
        <w:gridCol w:w="6236"/>
      </w:tblGrid>
      <w:tr>
        <w:tc>
          <w:tcPr>
            <w:tcW w:type="dxa" w:w="2551"/>
            <w:vAlign w:val="center"/>
            <w:shd w:fill="D9E7F7"/>
          </w:tcPr>
          <w:p>
            <w:pPr>
              <w:spacing w:after="40"/>
            </w:pPr>
            <w:r/>
            <w:r>
              <w:rPr>
                <w:rFonts w:ascii="Aptos" w:hAnsi="Aptos"/>
                <w:b/>
                <w:sz w:val="21"/>
              </w:rPr>
              <w:t>Team Members</w:t>
            </w:r>
          </w:p>
        </w:tc>
        <w:tc>
          <w:tcPr>
            <w:tcW w:type="dxa" w:w="6236"/>
            <w:vAlign w:val="center"/>
          </w:tcPr>
          <w:p>
            <w:pPr>
              <w:spacing w:after="40"/>
            </w:pPr>
            <w:r/>
            <w:r>
              <w:rPr>
                <w:rFonts w:ascii="Aptos" w:hAnsi="Aptos"/>
                <w:b w:val="0"/>
                <w:sz w:val="21"/>
              </w:rPr>
              <w:t>Samad Ullah (University of Santiago de Compostela) and Catarina Souto (University of Porto)</w:t>
            </w:r>
          </w:p>
        </w:tc>
      </w:tr>
      <w:tr>
        <w:tc>
          <w:tcPr>
            <w:tcW w:type="dxa" w:w="2551"/>
            <w:vAlign w:val="center"/>
            <w:shd w:fill="D9E7F7"/>
          </w:tcPr>
          <w:p>
            <w:pPr>
              <w:spacing w:after="40"/>
            </w:pPr>
            <w:r/>
            <w:r>
              <w:rPr>
                <w:rFonts w:ascii="Aptos" w:hAnsi="Aptos"/>
                <w:b/>
                <w:sz w:val="21"/>
              </w:rPr>
              <w:t>Project Focus</w:t>
            </w:r>
          </w:p>
        </w:tc>
        <w:tc>
          <w:tcPr>
            <w:tcW w:type="dxa" w:w="6236"/>
            <w:vAlign w:val="center"/>
          </w:tcPr>
          <w:p>
            <w:pPr>
              <w:spacing w:after="40"/>
            </w:pPr>
            <w:r/>
            <w:r>
              <w:rPr>
                <w:rFonts w:ascii="Aptos" w:hAnsi="Aptos"/>
                <w:b w:val="0"/>
                <w:sz w:val="21"/>
              </w:rPr>
              <w:t>Fusion of pre-operative MRI and post-operative CT for precise DBS electrode localization</w:t>
            </w:r>
          </w:p>
        </w:tc>
      </w:tr>
      <w:tr>
        <w:tc>
          <w:tcPr>
            <w:tcW w:type="dxa" w:w="2551"/>
            <w:vAlign w:val="center"/>
            <w:shd w:fill="D9E7F7"/>
          </w:tcPr>
          <w:p>
            <w:pPr>
              <w:spacing w:after="40"/>
            </w:pPr>
            <w:r/>
            <w:r>
              <w:rPr>
                <w:rFonts w:ascii="Aptos" w:hAnsi="Aptos"/>
                <w:b/>
                <w:sz w:val="21"/>
              </w:rPr>
              <w:t>Presentation &amp; Demo</w:t>
            </w:r>
          </w:p>
        </w:tc>
        <w:tc>
          <w:tcPr>
            <w:tcW w:type="dxa" w:w="6236"/>
            <w:vAlign w:val="center"/>
          </w:tcPr>
          <w:p>
            <w:pPr>
              <w:spacing w:after="40"/>
            </w:pPr>
            <w:r/>
            <w:r>
              <w:rPr>
                <w:rFonts w:ascii="Aptos" w:hAnsi="Aptos"/>
                <w:b w:val="0"/>
                <w:sz w:val="21"/>
              </w:rPr>
              <w:t>Session #7 — both members should be able to explain the full workflow clearly</w:t>
            </w:r>
          </w:p>
        </w:tc>
      </w:tr>
    </w:tbl>
    <w:p/>
    <w:p>
      <w:r>
        <w:rPr>
          <w:b/>
        </w:rPr>
        <w:t>Purpose of this document.</w:t>
      </w:r>
      <w:r>
        <w:t xml:space="preserve"> This plan distributes the work across the project sprints while ensuring that both students understand the entire pipeline. Each sprint includes a primary lead for each task, but all outputs must be reviewed jointly before they are marked as complete.</w:t>
      </w:r>
    </w:p>
    <w:p>
      <w:pPr>
        <w:pStyle w:val="Heading1"/>
      </w:pPr>
      <w:r>
        <w:t>Working principle</w:t>
      </w:r>
    </w:p>
    <w:p>
      <w:pPr>
        <w:spacing w:after="60"/>
        <w:ind w:left="340"/>
      </w:pPr>
      <w:r>
        <w:rPr>
          <w:b/>
        </w:rPr>
        <w:t xml:space="preserve">• </w:t>
      </w:r>
      <w:r>
        <w:t>Each task has one primary owner and one support reviewer.</w:t>
      </w:r>
    </w:p>
    <w:p>
      <w:pPr>
        <w:spacing w:after="60"/>
        <w:ind w:left="340"/>
      </w:pPr>
      <w:r>
        <w:rPr>
          <w:b/>
        </w:rPr>
        <w:t xml:space="preserve">• </w:t>
      </w:r>
      <w:r>
        <w:t>Both students should attend technical discussions and understand the full methodology.</w:t>
      </w:r>
    </w:p>
    <w:p>
      <w:pPr>
        <w:spacing w:after="60"/>
        <w:ind w:left="340"/>
      </w:pPr>
      <w:r>
        <w:rPr>
          <w:b/>
        </w:rPr>
        <w:t xml:space="preserve">• </w:t>
      </w:r>
      <w:r>
        <w:t>At the end of every sprint, the team should update the project management platform and prepare a short progress summary.</w:t>
      </w:r>
    </w:p>
    <w:p>
      <w:pPr>
        <w:spacing w:after="60"/>
        <w:ind w:left="340"/>
      </w:pPr>
      <w:r>
        <w:rPr>
          <w:b/>
        </w:rPr>
        <w:t xml:space="preserve">• </w:t>
      </w:r>
      <w:r>
        <w:t>All visual outputs, registration results, and presentation materials should be reviewed together.</w:t>
      </w:r>
    </w:p>
    <w:p>
      <w:pPr>
        <w:pStyle w:val="Heading1"/>
      </w:pPr>
      <w:r>
        <w:t>Recommended role distribution</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BFD7EE"/>
          </w:tcPr>
          <w:p>
            <w:pPr>
              <w:spacing w:after="40"/>
            </w:pPr>
            <w:r/>
            <w:r>
              <w:rPr>
                <w:rFonts w:ascii="Aptos" w:hAnsi="Aptos"/>
                <w:b/>
                <w:sz w:val="21"/>
              </w:rPr>
              <w:t>Area</w:t>
            </w:r>
          </w:p>
        </w:tc>
        <w:tc>
          <w:tcPr>
            <w:tcW w:type="dxa" w:w="3324"/>
            <w:vAlign w:val="center"/>
            <w:shd w:fill="BFD7EE"/>
          </w:tcPr>
          <w:p>
            <w:pPr>
              <w:spacing w:after="40"/>
            </w:pPr>
            <w:r/>
            <w:r>
              <w:rPr>
                <w:rFonts w:ascii="Aptos" w:hAnsi="Aptos"/>
                <w:b/>
                <w:sz w:val="21"/>
              </w:rPr>
              <w:t>Primary Lead</w:t>
            </w:r>
          </w:p>
        </w:tc>
        <w:tc>
          <w:tcPr>
            <w:tcW w:type="dxa" w:w="3324"/>
            <w:vAlign w:val="center"/>
            <w:shd w:fill="BFD7EE"/>
          </w:tcPr>
          <w:p>
            <w:pPr>
              <w:spacing w:after="40"/>
            </w:pPr>
            <w:r/>
            <w:r>
              <w:rPr>
                <w:rFonts w:ascii="Aptos" w:hAnsi="Aptos"/>
                <w:b/>
                <w:sz w:val="21"/>
              </w:rPr>
              <w:t>Support / Shared Responsibility</w:t>
            </w:r>
          </w:p>
        </w:tc>
      </w:tr>
      <w:tr>
        <w:tc>
          <w:tcPr>
            <w:tcW w:type="dxa" w:w="3324"/>
            <w:vAlign w:val="center"/>
          </w:tcPr>
          <w:p>
            <w:pPr>
              <w:spacing w:after="40"/>
            </w:pPr>
            <w:r/>
            <w:r>
              <w:rPr>
                <w:rFonts w:ascii="Aptos" w:hAnsi="Aptos"/>
                <w:b w:val="0"/>
                <w:sz w:val="21"/>
              </w:rPr>
              <w:t>Project coordination and communication with professor</w:t>
            </w:r>
          </w:p>
        </w:tc>
        <w:tc>
          <w:tcPr>
            <w:tcW w:type="dxa" w:w="3324"/>
            <w:vAlign w:val="center"/>
          </w:tcPr>
          <w:p>
            <w:pPr>
              <w:spacing w:after="40"/>
            </w:pPr>
            <w:r/>
            <w:r>
              <w:rPr>
                <w:rFonts w:ascii="Aptos" w:hAnsi="Aptos"/>
                <w:b w:val="0"/>
                <w:sz w:val="21"/>
              </w:rPr>
              <w:t>Samad Ullah</w:t>
            </w:r>
          </w:p>
        </w:tc>
        <w:tc>
          <w:tcPr>
            <w:tcW w:type="dxa" w:w="3324"/>
            <w:vAlign w:val="center"/>
          </w:tcPr>
          <w:p>
            <w:pPr>
              <w:spacing w:after="40"/>
            </w:pPr>
            <w:r/>
            <w:r>
              <w:rPr>
                <w:rFonts w:ascii="Aptos" w:hAnsi="Aptos"/>
                <w:b w:val="0"/>
                <w:sz w:val="21"/>
              </w:rPr>
              <w:t>Catarina reviews updates and deadlines</w:t>
            </w:r>
          </w:p>
        </w:tc>
      </w:tr>
      <w:tr>
        <w:tc>
          <w:tcPr>
            <w:tcW w:type="dxa" w:w="3324"/>
            <w:vAlign w:val="center"/>
          </w:tcPr>
          <w:p>
            <w:pPr>
              <w:spacing w:after="40"/>
            </w:pPr>
            <w:r/>
            <w:r>
              <w:rPr>
                <w:rFonts w:ascii="Aptos" w:hAnsi="Aptos"/>
                <w:b w:val="0"/>
                <w:sz w:val="21"/>
              </w:rPr>
              <w:t>Data understanding, preprocessing, and registration pipeline</w:t>
            </w:r>
          </w:p>
        </w:tc>
        <w:tc>
          <w:tcPr>
            <w:tcW w:type="dxa" w:w="3324"/>
            <w:vAlign w:val="center"/>
          </w:tcPr>
          <w:p>
            <w:pPr>
              <w:spacing w:after="40"/>
            </w:pPr>
            <w:r/>
            <w:r>
              <w:rPr>
                <w:rFonts w:ascii="Aptos" w:hAnsi="Aptos"/>
                <w:b w:val="0"/>
                <w:sz w:val="21"/>
              </w:rPr>
              <w:t>Samad Ullah</w:t>
            </w:r>
          </w:p>
        </w:tc>
        <w:tc>
          <w:tcPr>
            <w:tcW w:type="dxa" w:w="3324"/>
            <w:vAlign w:val="center"/>
          </w:tcPr>
          <w:p>
            <w:pPr>
              <w:spacing w:after="40"/>
            </w:pPr>
            <w:r/>
            <w:r>
              <w:rPr>
                <w:rFonts w:ascii="Aptos" w:hAnsi="Aptos"/>
                <w:b w:val="0"/>
                <w:sz w:val="21"/>
              </w:rPr>
              <w:t>Catarina validates outputs and understands parameters</w:t>
            </w:r>
          </w:p>
        </w:tc>
      </w:tr>
      <w:tr>
        <w:tc>
          <w:tcPr>
            <w:tcW w:type="dxa" w:w="3324"/>
            <w:vAlign w:val="center"/>
          </w:tcPr>
          <w:p>
            <w:pPr>
              <w:spacing w:after="40"/>
            </w:pPr>
            <w:r/>
            <w:r>
              <w:rPr>
                <w:rFonts w:ascii="Aptos" w:hAnsi="Aptos"/>
                <w:b w:val="0"/>
                <w:sz w:val="21"/>
              </w:rPr>
              <w:t>Electrode localization, result visualization, and evaluation</w:t>
            </w:r>
          </w:p>
        </w:tc>
        <w:tc>
          <w:tcPr>
            <w:tcW w:type="dxa" w:w="3324"/>
            <w:vAlign w:val="center"/>
          </w:tcPr>
          <w:p>
            <w:pPr>
              <w:spacing w:after="40"/>
            </w:pPr>
            <w:r/>
            <w:r>
              <w:rPr>
                <w:rFonts w:ascii="Aptos" w:hAnsi="Aptos"/>
                <w:b w:val="0"/>
                <w:sz w:val="21"/>
              </w:rPr>
              <w:t>Catarina Souto</w:t>
            </w:r>
          </w:p>
        </w:tc>
        <w:tc>
          <w:tcPr>
            <w:tcW w:type="dxa" w:w="3324"/>
            <w:vAlign w:val="center"/>
          </w:tcPr>
          <w:p>
            <w:pPr>
              <w:spacing w:after="40"/>
            </w:pPr>
            <w:r/>
            <w:r>
              <w:rPr>
                <w:rFonts w:ascii="Aptos" w:hAnsi="Aptos"/>
                <w:b w:val="0"/>
                <w:sz w:val="21"/>
              </w:rPr>
              <w:t>Samad validates outputs and understands interpretation</w:t>
            </w:r>
          </w:p>
        </w:tc>
      </w:tr>
      <w:tr>
        <w:tc>
          <w:tcPr>
            <w:tcW w:type="dxa" w:w="3324"/>
            <w:vAlign w:val="center"/>
          </w:tcPr>
          <w:p>
            <w:pPr>
              <w:spacing w:after="40"/>
            </w:pPr>
            <w:r/>
            <w:r>
              <w:rPr>
                <w:rFonts w:ascii="Aptos" w:hAnsi="Aptos"/>
                <w:b w:val="0"/>
                <w:sz w:val="21"/>
              </w:rPr>
              <w:t>Slides, demo, and teaser preparation</w:t>
            </w:r>
          </w:p>
        </w:tc>
        <w:tc>
          <w:tcPr>
            <w:tcW w:type="dxa" w:w="3324"/>
            <w:vAlign w:val="center"/>
          </w:tcPr>
          <w:p>
            <w:pPr>
              <w:spacing w:after="40"/>
            </w:pPr>
            <w:r/>
            <w:r>
              <w:rPr>
                <w:rFonts w:ascii="Aptos" w:hAnsi="Aptos"/>
                <w:b w:val="0"/>
                <w:sz w:val="21"/>
              </w:rPr>
              <w:t>Shared</w:t>
            </w:r>
          </w:p>
        </w:tc>
        <w:tc>
          <w:tcPr>
            <w:tcW w:type="dxa" w:w="3324"/>
            <w:vAlign w:val="center"/>
          </w:tcPr>
          <w:p>
            <w:pPr>
              <w:spacing w:after="40"/>
            </w:pPr>
            <w:r/>
            <w:r>
              <w:rPr>
                <w:rFonts w:ascii="Aptos" w:hAnsi="Aptos"/>
                <w:b w:val="0"/>
                <w:sz w:val="21"/>
              </w:rPr>
              <w:t>Shared</w:t>
            </w:r>
          </w:p>
        </w:tc>
      </w:tr>
    </w:tbl>
    <w:p>
      <w:pPr>
        <w:pStyle w:val="Heading1"/>
      </w:pPr>
      <w:r>
        <w:t>Sprint 1 — Project setup, scope definition, and dataset familiarization</w:t>
      </w:r>
    </w:p>
    <w:p>
      <w:pPr>
        <w:pStyle w:val="Heading2"/>
      </w:pPr>
      <w:r>
        <w:t>Samad Ullah</w:t>
      </w:r>
    </w:p>
    <w:p>
      <w:pPr>
        <w:spacing w:after="40"/>
        <w:ind w:left="397"/>
      </w:pPr>
      <w:r>
        <w:rPr>
          <w:b/>
        </w:rPr>
        <w:t xml:space="preserve">• </w:t>
      </w:r>
      <w:r>
        <w:t>Confirm the project selection details and maintain communication with Professor João Paulo Cunha if needed.</w:t>
      </w:r>
    </w:p>
    <w:p>
      <w:pPr>
        <w:spacing w:after="40"/>
        <w:ind w:left="397"/>
      </w:pPr>
      <w:r>
        <w:rPr>
          <w:b/>
        </w:rPr>
        <w:t xml:space="preserve">• </w:t>
      </w:r>
      <w:r>
        <w:t>Create the initial project structure: folders, naming conventions, and working notes.</w:t>
      </w:r>
    </w:p>
    <w:p>
      <w:pPr>
        <w:spacing w:after="40"/>
        <w:ind w:left="397"/>
      </w:pPr>
      <w:r>
        <w:rPr>
          <w:b/>
        </w:rPr>
        <w:t xml:space="preserve">• </w:t>
      </w:r>
      <w:r>
        <w:t>Inspect the MRI and CT data format, dimensions, spacing, and orientation.</w:t>
      </w:r>
    </w:p>
    <w:p>
      <w:pPr>
        <w:spacing w:after="40"/>
        <w:ind w:left="397"/>
      </w:pPr>
      <w:r>
        <w:rPr>
          <w:b/>
        </w:rPr>
        <w:t xml:space="preserve">• </w:t>
      </w:r>
      <w:r>
        <w:t>Draft the first technical workflow diagram for the team.</w:t>
      </w:r>
    </w:p>
    <w:p>
      <w:pPr>
        <w:pStyle w:val="Heading2"/>
      </w:pPr>
      <w:r>
        <w:t>Catarina Souto</w:t>
      </w:r>
    </w:p>
    <w:p>
      <w:pPr>
        <w:spacing w:after="40"/>
        <w:ind w:left="397"/>
      </w:pPr>
      <w:r>
        <w:rPr>
          <w:b/>
        </w:rPr>
        <w:t xml:space="preserve">• </w:t>
      </w:r>
      <w:r>
        <w:t>Review the project statement and identify the clinical motivation and expected outcome.</w:t>
      </w:r>
    </w:p>
    <w:p>
      <w:pPr>
        <w:spacing w:after="40"/>
        <w:ind w:left="397"/>
      </w:pPr>
      <w:r>
        <w:rPr>
          <w:b/>
        </w:rPr>
        <w:t xml:space="preserve">• </w:t>
      </w:r>
      <w:r>
        <w:t>Document the role of MRI and CT in DBS electrode localization.</w:t>
      </w:r>
    </w:p>
    <w:p>
      <w:pPr>
        <w:spacing w:after="40"/>
        <w:ind w:left="397"/>
      </w:pPr>
      <w:r>
        <w:rPr>
          <w:b/>
        </w:rPr>
        <w:t xml:space="preserve">• </w:t>
      </w:r>
      <w:r>
        <w:t>Prepare a concise literature/context note on multimodal fusion and DBS localization.</w:t>
      </w:r>
    </w:p>
    <w:p>
      <w:pPr>
        <w:spacing w:after="40"/>
        <w:ind w:left="397"/>
      </w:pPr>
      <w:r>
        <w:rPr>
          <w:b/>
        </w:rPr>
        <w:t xml:space="preserve">• </w:t>
      </w:r>
      <w:r>
        <w:t>Review the dataset inspection results together with Samad.</w:t>
      </w:r>
    </w:p>
    <w:p>
      <w:pPr>
        <w:pStyle w:val="Heading2"/>
      </w:pPr>
      <w:r>
        <w:t>Joint deliverables</w:t>
      </w:r>
    </w:p>
    <w:p>
      <w:pPr>
        <w:spacing w:after="40"/>
        <w:ind w:left="397"/>
      </w:pPr>
      <w:r>
        <w:rPr>
          <w:b/>
        </w:rPr>
        <w:t xml:space="preserve">• </w:t>
      </w:r>
      <w:r>
        <w:t>Finalize nickname and decide the captain/SCRUM master if not already fixed.</w:t>
      </w:r>
    </w:p>
    <w:p>
      <w:pPr>
        <w:spacing w:after="40"/>
        <w:ind w:left="397"/>
      </w:pPr>
      <w:r>
        <w:rPr>
          <w:b/>
        </w:rPr>
        <w:t xml:space="preserve">• </w:t>
      </w:r>
      <w:r>
        <w:t>Agree on the final objective, expected outcomes, and risk points.</w:t>
      </w:r>
    </w:p>
    <w:p>
      <w:pPr>
        <w:spacing w:after="40"/>
        <w:ind w:left="397"/>
      </w:pPr>
      <w:r>
        <w:rPr>
          <w:b/>
        </w:rPr>
        <w:t xml:space="preserve">• </w:t>
      </w:r>
      <w:r>
        <w:t>Update the project management platform with the first sprint tasks and status.</w:t>
      </w:r>
    </w:p>
    <w:p>
      <w:pPr>
        <w:spacing w:after="40"/>
        <w:ind w:left="397"/>
      </w:pPr>
      <w:r>
        <w:rPr>
          <w:b/>
        </w:rPr>
        <w:t xml:space="preserve">• </w:t>
      </w:r>
      <w:r>
        <w:t>Produce a one-page project summary that both members can explain.</w:t>
      </w:r>
    </w:p>
    <w:p>
      <w:pPr>
        <w:pStyle w:val="Heading1"/>
      </w:pPr>
      <w:r>
        <w:t>Sprint 2 — Preprocessing and baseline registration</w:t>
      </w:r>
    </w:p>
    <w:p>
      <w:pPr>
        <w:pStyle w:val="Heading2"/>
      </w:pPr>
      <w:r>
        <w:t>Samad Ullah</w:t>
      </w:r>
    </w:p>
    <w:p>
      <w:pPr>
        <w:spacing w:after="40"/>
        <w:ind w:left="397"/>
      </w:pPr>
      <w:r>
        <w:rPr>
          <w:b/>
        </w:rPr>
        <w:t xml:space="preserve">• </w:t>
      </w:r>
      <w:r>
        <w:t>Implement data loading and preprocessing: resampling, normalization, cropping, and initial quality checks.</w:t>
      </w:r>
    </w:p>
    <w:p>
      <w:pPr>
        <w:spacing w:after="40"/>
        <w:ind w:left="397"/>
      </w:pPr>
      <w:r>
        <w:rPr>
          <w:b/>
        </w:rPr>
        <w:t xml:space="preserve">• </w:t>
      </w:r>
      <w:r>
        <w:t>Set up the baseline multimodal registration approach, starting with rigid registration.</w:t>
      </w:r>
    </w:p>
    <w:p>
      <w:pPr>
        <w:spacing w:after="40"/>
        <w:ind w:left="397"/>
      </w:pPr>
      <w:r>
        <w:rPr>
          <w:b/>
        </w:rPr>
        <w:t xml:space="preserve">• </w:t>
      </w:r>
      <w:r>
        <w:t>Test suitable metrics such as mutual information and record parameter choices.</w:t>
      </w:r>
    </w:p>
    <w:p>
      <w:pPr>
        <w:pStyle w:val="Heading2"/>
      </w:pPr>
      <w:r>
        <w:t>Catarina Souto</w:t>
      </w:r>
    </w:p>
    <w:p>
      <w:pPr>
        <w:spacing w:after="40"/>
        <w:ind w:left="397"/>
      </w:pPr>
      <w:r>
        <w:rPr>
          <w:b/>
        </w:rPr>
        <w:t xml:space="preserve">• </w:t>
      </w:r>
      <w:r>
        <w:t>Review preprocessing outputs and verify that anatomical structures remain clear.</w:t>
      </w:r>
    </w:p>
    <w:p>
      <w:pPr>
        <w:spacing w:after="40"/>
        <w:ind w:left="397"/>
      </w:pPr>
      <w:r>
        <w:rPr>
          <w:b/>
        </w:rPr>
        <w:t xml:space="preserve">• </w:t>
      </w:r>
      <w:r>
        <w:t>Document why the selected preprocessing choices are appropriate for MRI and CT.</w:t>
      </w:r>
    </w:p>
    <w:p>
      <w:pPr>
        <w:spacing w:after="40"/>
        <w:ind w:left="397"/>
      </w:pPr>
      <w:r>
        <w:rPr>
          <w:b/>
        </w:rPr>
        <w:t xml:space="preserve">• </w:t>
      </w:r>
      <w:r>
        <w:t>Prepare comparison figures showing raw data versus preprocessed data.</w:t>
      </w:r>
    </w:p>
    <w:p>
      <w:pPr>
        <w:pStyle w:val="Heading2"/>
      </w:pPr>
      <w:r>
        <w:t>Joint deliverables</w:t>
      </w:r>
    </w:p>
    <w:p>
      <w:pPr>
        <w:spacing w:after="40"/>
        <w:ind w:left="397"/>
      </w:pPr>
      <w:r>
        <w:rPr>
          <w:b/>
        </w:rPr>
        <w:t xml:space="preserve">• </w:t>
      </w:r>
      <w:r>
        <w:t>Obtain the first registered MRI–CT output.</w:t>
      </w:r>
    </w:p>
    <w:p>
      <w:pPr>
        <w:spacing w:after="40"/>
        <w:ind w:left="397"/>
      </w:pPr>
      <w:r>
        <w:rPr>
          <w:b/>
        </w:rPr>
        <w:t xml:space="preserve">• </w:t>
      </w:r>
      <w:r>
        <w:t>Review fused slices together in axial, sagittal, and coronal views.</w:t>
      </w:r>
    </w:p>
    <w:p>
      <w:pPr>
        <w:spacing w:after="40"/>
        <w:ind w:left="397"/>
      </w:pPr>
      <w:r>
        <w:rPr>
          <w:b/>
        </w:rPr>
        <w:t xml:space="preserve">• </w:t>
      </w:r>
      <w:r>
        <w:t>Update the project platform with completed tasks, open issues, and next actions.</w:t>
      </w:r>
    </w:p>
    <w:p>
      <w:pPr>
        <w:pStyle w:val="Heading1"/>
      </w:pPr>
      <w:r>
        <w:t>Sprint 3 — Registration refinement and electrode localization</w:t>
      </w:r>
    </w:p>
    <w:p>
      <w:pPr>
        <w:pStyle w:val="Heading2"/>
      </w:pPr>
      <w:r>
        <w:t>Samad Ullah</w:t>
      </w:r>
    </w:p>
    <w:p>
      <w:pPr>
        <w:spacing w:after="40"/>
        <w:ind w:left="397"/>
      </w:pPr>
      <w:r>
        <w:rPr>
          <w:b/>
        </w:rPr>
        <w:t xml:space="preserve">• </w:t>
      </w:r>
      <w:r>
        <w:t>Refine the registration pipeline and improve robustness where needed.</w:t>
      </w:r>
    </w:p>
    <w:p>
      <w:pPr>
        <w:spacing w:after="40"/>
        <w:ind w:left="397"/>
      </w:pPr>
      <w:r>
        <w:rPr>
          <w:b/>
        </w:rPr>
        <w:t xml:space="preserve">• </w:t>
      </w:r>
      <w:r>
        <w:t>Compare baseline results with adjusted settings and keep a clear record of improvements.</w:t>
      </w:r>
    </w:p>
    <w:p>
      <w:pPr>
        <w:spacing w:after="40"/>
        <w:ind w:left="397"/>
      </w:pPr>
      <w:r>
        <w:rPr>
          <w:b/>
        </w:rPr>
        <w:t xml:space="preserve">• </w:t>
      </w:r>
      <w:r>
        <w:t>Prepare clean fused outputs for later presentation use.</w:t>
      </w:r>
    </w:p>
    <w:p>
      <w:pPr>
        <w:pStyle w:val="Heading2"/>
      </w:pPr>
      <w:r>
        <w:t>Catarina Souto</w:t>
      </w:r>
    </w:p>
    <w:p>
      <w:pPr>
        <w:spacing w:after="40"/>
        <w:ind w:left="397"/>
      </w:pPr>
      <w:r>
        <w:rPr>
          <w:b/>
        </w:rPr>
        <w:t xml:space="preserve">• </w:t>
      </w:r>
      <w:r>
        <w:t>Develop the first electrode localization approach using the post-operative CT.</w:t>
      </w:r>
    </w:p>
    <w:p>
      <w:pPr>
        <w:spacing w:after="40"/>
        <w:ind w:left="397"/>
      </w:pPr>
      <w:r>
        <w:rPr>
          <w:b/>
        </w:rPr>
        <w:t xml:space="preserve">• </w:t>
      </w:r>
      <w:r>
        <w:t>Test thresholding, connected components, centroid extraction, or trajectory estimation as appropriate.</w:t>
      </w:r>
    </w:p>
    <w:p>
      <w:pPr>
        <w:spacing w:after="40"/>
        <w:ind w:left="397"/>
      </w:pPr>
      <w:r>
        <w:rPr>
          <w:b/>
        </w:rPr>
        <w:t xml:space="preserve">• </w:t>
      </w:r>
      <w:r>
        <w:t>Map the localized electrode position into MRI space and prepare visual overlays.</w:t>
      </w:r>
    </w:p>
    <w:p>
      <w:pPr>
        <w:pStyle w:val="Heading2"/>
      </w:pPr>
      <w:r>
        <w:t>Joint deliverables</w:t>
      </w:r>
    </w:p>
    <w:p>
      <w:pPr>
        <w:spacing w:after="40"/>
        <w:ind w:left="397"/>
      </w:pPr>
      <w:r>
        <w:rPr>
          <w:b/>
        </w:rPr>
        <w:t xml:space="preserve">• </w:t>
      </w:r>
      <w:r>
        <w:t>Select the best registration result and justify why it is the final choice.</w:t>
      </w:r>
    </w:p>
    <w:p>
      <w:pPr>
        <w:spacing w:after="40"/>
        <w:ind w:left="397"/>
      </w:pPr>
      <w:r>
        <w:rPr>
          <w:b/>
        </w:rPr>
        <w:t xml:space="preserve">• </w:t>
      </w:r>
      <w:r>
        <w:t>Generate electrode localization figures that can be shown during the demo.</w:t>
      </w:r>
    </w:p>
    <w:p>
      <w:pPr>
        <w:spacing w:after="40"/>
        <w:ind w:left="397"/>
      </w:pPr>
      <w:r>
        <w:rPr>
          <w:b/>
        </w:rPr>
        <w:t xml:space="preserve">• </w:t>
      </w:r>
      <w:r>
        <w:t>Write a short explanation of the method that both members can present confidently.</w:t>
      </w:r>
    </w:p>
    <w:p>
      <w:pPr>
        <w:pStyle w:val="Heading1"/>
      </w:pPr>
      <w:r>
        <w:t>Sprint 4 — Evaluation, presentation, demo, and final polishing</w:t>
      </w:r>
    </w:p>
    <w:p>
      <w:pPr>
        <w:pStyle w:val="Heading2"/>
      </w:pPr>
      <w:r>
        <w:t>Samad Ullah</w:t>
      </w:r>
    </w:p>
    <w:p>
      <w:pPr>
        <w:spacing w:after="40"/>
        <w:ind w:left="397"/>
      </w:pPr>
      <w:r>
        <w:rPr>
          <w:b/>
        </w:rPr>
        <w:t xml:space="preserve">• </w:t>
      </w:r>
      <w:r>
        <w:t>Lead the technical explanation of preprocessing and registration for the final presentation.</w:t>
      </w:r>
    </w:p>
    <w:p>
      <w:pPr>
        <w:spacing w:after="40"/>
        <w:ind w:left="397"/>
      </w:pPr>
      <w:r>
        <w:rPr>
          <w:b/>
        </w:rPr>
        <w:t xml:space="preserve">• </w:t>
      </w:r>
      <w:r>
        <w:t>Prepare the workflow figure and final methodology slides.</w:t>
      </w:r>
    </w:p>
    <w:p>
      <w:pPr>
        <w:spacing w:after="40"/>
        <w:ind w:left="397"/>
      </w:pPr>
      <w:r>
        <w:rPr>
          <w:b/>
        </w:rPr>
        <w:t xml:space="preserve">• </w:t>
      </w:r>
      <w:r>
        <w:t>Ensure the project management platform is complete and coherent.</w:t>
      </w:r>
    </w:p>
    <w:p>
      <w:pPr>
        <w:pStyle w:val="Heading2"/>
      </w:pPr>
      <w:r>
        <w:t>Catarina Souto</w:t>
      </w:r>
    </w:p>
    <w:p>
      <w:pPr>
        <w:spacing w:after="40"/>
        <w:ind w:left="397"/>
      </w:pPr>
      <w:r>
        <w:rPr>
          <w:b/>
        </w:rPr>
        <w:t xml:space="preserve">• </w:t>
      </w:r>
      <w:r>
        <w:t>Lead the evaluation and visualization sections of the presentation.</w:t>
      </w:r>
    </w:p>
    <w:p>
      <w:pPr>
        <w:spacing w:after="40"/>
        <w:ind w:left="397"/>
      </w:pPr>
      <w:r>
        <w:rPr>
          <w:b/>
        </w:rPr>
        <w:t xml:space="preserve">• </w:t>
      </w:r>
      <w:r>
        <w:t>Prepare the result slides, conclusion slide, and demo narrative.</w:t>
      </w:r>
    </w:p>
    <w:p>
      <w:pPr>
        <w:spacing w:after="40"/>
        <w:ind w:left="397"/>
      </w:pPr>
      <w:r>
        <w:rPr>
          <w:b/>
        </w:rPr>
        <w:t xml:space="preserve">• </w:t>
      </w:r>
      <w:r>
        <w:t>Support the teaser video structure and message clarity.</w:t>
      </w:r>
    </w:p>
    <w:p>
      <w:pPr>
        <w:pStyle w:val="Heading2"/>
      </w:pPr>
      <w:r>
        <w:t>Joint deliverables</w:t>
      </w:r>
    </w:p>
    <w:p>
      <w:pPr>
        <w:spacing w:after="40"/>
        <w:ind w:left="397"/>
      </w:pPr>
      <w:r>
        <w:rPr>
          <w:b/>
        </w:rPr>
        <w:t xml:space="preserve">• </w:t>
      </w:r>
      <w:r>
        <w:t>Finalize the presentation and rehearse answers so both students can explain any project section.</w:t>
      </w:r>
    </w:p>
    <w:p>
      <w:pPr>
        <w:spacing w:after="40"/>
        <w:ind w:left="397"/>
      </w:pPr>
      <w:r>
        <w:rPr>
          <w:b/>
        </w:rPr>
        <w:t xml:space="preserve">• </w:t>
      </w:r>
      <w:r>
        <w:t>Prepare the demo script with a clear sequence: input data, preprocessing, registration, fusion, localization, and results.</w:t>
      </w:r>
    </w:p>
    <w:p>
      <w:pPr>
        <w:spacing w:after="40"/>
        <w:ind w:left="397"/>
      </w:pPr>
      <w:r>
        <w:rPr>
          <w:b/>
        </w:rPr>
        <w:t xml:space="preserve">• </w:t>
      </w:r>
      <w:r>
        <w:t>Prepare the teaser video with a brief explanation of the problem, the method, and the final result.</w:t>
      </w:r>
    </w:p>
    <w:p>
      <w:pPr>
        <w:spacing w:after="40"/>
        <w:ind w:left="397"/>
      </w:pPr>
      <w:r>
        <w:rPr>
          <w:b/>
        </w:rPr>
        <w:t xml:space="preserve">• </w:t>
      </w:r>
      <w:r>
        <w:t>Run a full final review of the project, slides, and platform before Session #7.</w:t>
      </w:r>
    </w:p>
    <w:p>
      <w:pPr>
        <w:pStyle w:val="Heading1"/>
      </w:pPr>
      <w:r>
        <w:t>Sprint review checklist</w:t>
      </w:r>
    </w:p>
    <w:p>
      <w:pPr>
        <w:ind w:left="397"/>
      </w:pPr>
      <w:r>
        <w:t xml:space="preserve">□ </w:t>
      </w:r>
      <w:r>
        <w:t>Have both students reviewed the current outputs together?</w:t>
      </w:r>
    </w:p>
    <w:p>
      <w:pPr>
        <w:ind w:left="397"/>
      </w:pPr>
      <w:r>
        <w:t xml:space="preserve">□ </w:t>
      </w:r>
      <w:r>
        <w:t>Is the project management platform updated with completed tasks and pending issues?</w:t>
      </w:r>
    </w:p>
    <w:p>
      <w:pPr>
        <w:ind w:left="397"/>
      </w:pPr>
      <w:r>
        <w:t xml:space="preserve">□ </w:t>
      </w:r>
      <w:r>
        <w:t>Can both students explain the decisions made in this sprint?</w:t>
      </w:r>
    </w:p>
    <w:p>
      <w:pPr>
        <w:ind w:left="397"/>
      </w:pPr>
      <w:r>
        <w:t xml:space="preserve">□ </w:t>
      </w:r>
      <w:r>
        <w:t>Are there figures or screenshots saved for presentation use?</w:t>
      </w:r>
    </w:p>
    <w:p>
      <w:pPr>
        <w:ind w:left="397"/>
      </w:pPr>
      <w:r>
        <w:t xml:space="preserve">□ </w:t>
      </w:r>
      <w:r>
        <w:t>Is there a clear goal defined for the next sprint?</w:t>
      </w:r>
    </w:p>
    <w:p>
      <w:pPr>
        <w:pStyle w:val="Heading1"/>
      </w:pPr>
      <w:r>
        <w:t>Final note</w:t>
      </w:r>
    </w:p>
    <w:p>
      <w:r>
        <w:rPr>
          <w:b/>
        </w:rPr>
        <w:t xml:space="preserve">Important. </w:t>
      </w:r>
      <w:r>
        <w:t>Even though the work is divided by lead responsibility, the course rules require that all group members know the overall developed work. For that reason, the team should schedule at least one review meeting at the end of each sprint to go through the pipeline together and prepare for the Session #7 presentation and demo.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837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152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