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1115E" w14:textId="32B6D4E9" w:rsidR="008575F4" w:rsidRDefault="004A3359" w:rsidP="004A3359">
      <w:pPr>
        <w:jc w:val="center"/>
        <w:rPr>
          <w:color w:val="C45911" w:themeColor="accent2" w:themeShade="BF"/>
          <w:sz w:val="48"/>
          <w:szCs w:val="48"/>
          <w:lang w:val="es-ES"/>
        </w:rPr>
      </w:pPr>
      <w:r>
        <w:rPr>
          <w:color w:val="C45911" w:themeColor="accent2" w:themeShade="BF"/>
          <w:sz w:val="48"/>
          <w:szCs w:val="48"/>
          <w:lang w:val="es-ES"/>
        </w:rPr>
        <w:t>ORACIONES UNIMEMBRES Y BIMEMBRES</w:t>
      </w:r>
    </w:p>
    <w:p w14:paraId="11C03F09" w14:textId="5E4F5282" w:rsidR="002561E1" w:rsidRPr="002561E1" w:rsidRDefault="004A3359" w:rsidP="002561E1">
      <w:pPr>
        <w:jc w:val="center"/>
        <w:rPr>
          <w:color w:val="C45911" w:themeColor="accent2" w:themeShade="BF"/>
          <w:sz w:val="48"/>
          <w:szCs w:val="48"/>
          <w:lang w:val="es-ES"/>
        </w:rPr>
      </w:pPr>
      <w:r>
        <w:rPr>
          <w:noProof/>
          <w:color w:val="C45911" w:themeColor="accent2" w:themeShade="BF"/>
          <w:sz w:val="48"/>
          <w:szCs w:val="48"/>
          <w:lang w:val="es-ES"/>
        </w:rPr>
        <w:drawing>
          <wp:inline distT="0" distB="0" distL="0" distR="0" wp14:anchorId="5390529C" wp14:editId="53741731">
            <wp:extent cx="4869048" cy="6494145"/>
            <wp:effectExtent l="0" t="0" r="8255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1801" cy="65244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2561E1" w:rsidRPr="002561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1E1"/>
    <w:rsid w:val="002561E1"/>
    <w:rsid w:val="004A3359"/>
    <w:rsid w:val="00644C78"/>
    <w:rsid w:val="00857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1A227"/>
  <w15:chartTrackingRefBased/>
  <w15:docId w15:val="{11E5472F-40E5-41BC-B871-9FCBAF093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2024-08-16T19:07:00Z</dcterms:created>
  <dcterms:modified xsi:type="dcterms:W3CDTF">2024-08-16T19:07:00Z</dcterms:modified>
</cp:coreProperties>
</file>