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right"/>
      </w:pPr>
      <w:r>
        <w:rPr>
          <w:rFonts w:ascii="Times New Roman" w:cs="Times New Roman" w:eastAsia="Times New Roman" w:hAnsi="Times New Roman"/>
          <w:b/>
          <w:bCs/>
          <w:color w:val="B08A4B"/>
          <w:sz w:val="78"/>
          <w:szCs w:val="78"/>
        </w:rPr>
        <w:t xml:space="preserve">02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b/>
          <w:bCs/>
          <w:color w:val="26352F"/>
          <w:sz w:val="66"/>
          <w:szCs w:val="66"/>
        </w:rPr>
        <w:t xml:space="preserve">ENLYCE</w:t>
      </w:r>
    </w:p>
    <w:p>
      <w:pPr>
        <w:pBdr>
          <w:bottom w:val="single" w:color="742A3A" w:sz="18"/>
        </w:pBdr>
        <w:spacing w:after="300"/>
        <w:jc w:val="left"/>
      </w:pPr>
      <w:r>
        <w:rPr>
          <w:rFonts w:ascii="Times New Roman" w:cs="Times New Roman" w:eastAsia="Times New Roman" w:hAnsi="Times New Roman"/>
          <w:b/>
          <w:bCs/>
          <w:color w:val="742A3A"/>
          <w:spacing w:val="40"/>
          <w:sz w:val="25"/>
          <w:szCs w:val="25"/>
        </w:rPr>
        <w:t xml:space="preserve">TALLER PRÁCTICO · MODELADO UML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Estudiante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Samuel Andres Escobar Saldarriaga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Modalidad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Trabajo individual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Ficha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 DE COMPLETAR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Celular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 DE COMPLETAR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Correo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 DE COMPLETAR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Fecha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24 de septiembre de 2026</w:t>
            </w:r>
          </w:p>
        </w:tc>
      </w:tr>
    </w:tbl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Integrante e idea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2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Nombre y apellido</w:t>
            </w:r>
          </w:p>
        </w:tc>
        <w:tc>
          <w:tcPr>
            <w:tcW w:type="dxa" w:w="1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Celular</w:t>
            </w:r>
          </w:p>
        </w:tc>
        <w:tc>
          <w:tcPr>
            <w:tcW w:type="dxa" w:w="22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Correo</w:t>
            </w:r>
          </w:p>
        </w:tc>
        <w:tc>
          <w:tcPr>
            <w:tcW w:type="dxa" w:w="26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Idea de proyecto</w:t>
            </w:r>
          </w:p>
        </w:tc>
      </w:tr>
      <w:tr>
        <w:tc>
          <w:tcPr>
            <w:tcW w:type="dxa" w:w="28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Samuel Andres Escobar Saldarriaga</w:t>
            </w:r>
          </w:p>
        </w:tc>
        <w:tc>
          <w:tcPr>
            <w:tcW w:type="dxa" w:w="1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</w:t>
            </w:r>
          </w:p>
        </w:tc>
        <w:tc>
          <w:tcPr>
            <w:tcW w:type="dxa" w:w="22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</w:t>
            </w:r>
          </w:p>
        </w:tc>
        <w:tc>
          <w:tcPr>
            <w:tcW w:type="dxa" w:w="26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ENLYCE — CRM inmobiliario</w:t>
            </w:r>
          </w:p>
        </w:tc>
      </w:tr>
    </w:tbl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Nombre del proyecto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ENLYCE — CRM inmobiliario</w:t>
      </w:r>
    </w:p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Descripción del problema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Las inmobiliarias pequeñas gestionan oportunidades, inmuebles y seguimientos mediante WhatsApp, hojas de cálculo y notas dispersas. Esto provoca pérdida de contactos, duplicidad de atención, poca visibilidad sobre el trabajo de los asesores y dificultades para demostrar el tratamiento autorizado de datos personales. ENLYCE centraliza el proceso comercial: capta interesados, organiza cada oportunidad en un pipeline, asigna responsables, registra interacciones y visitas, publica inmuebles y conserva evidencia de consentimiento.</w:t>
      </w:r>
    </w:p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Requisitos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900"/>
        <w:gridCol w:w="2700"/>
        <w:gridCol w:w="3910"/>
      </w:tblGrid>
      <w:tr>
        <w:trPr>
          <w:tblHeader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Criterio observable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RU-01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 / 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Iniciar y cerrar sesión.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Credenciales válidas crean una sesión segura; cerrar sesión elimina la cookie.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RU-02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Registrar asesores.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Solo el Administrador crea cuentas con correo único.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RU-03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 / Asesor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Registrar una oportunidad comercial.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Se crea el lead o se registra el recontacto si el correo ya existe.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RU-04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Asignar o reasignar leads.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lead queda vinculado con el asesor seleccionado.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RU-05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 / 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Consultar pipeline y mover leads.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tablero muestra etapas y conserva el cambio.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RU-06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Registrar interacciones.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gestión queda asociada con lead y asesor.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RU-07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Programar y consultar visitas.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visita vincula lead, inmueble, asesor y fecha.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RU-08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 / 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Gestionar inmuebles.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Usuarios autorizados registran y consultan inmuebles.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RU-09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Consultar catálogo público.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Catálogo y ficha se consultan sin autenticación.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RU-10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Titular / 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Gestionar datos personales.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Se pueden consultar o suprimir datos según autorización y rol.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RU-11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 / Administrador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Consultar alertas.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Cada usuario ve alertas según su alcance.</w:t>
            </w:r>
          </w:p>
        </w:tc>
      </w:tr>
      <w:t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RU-12</w:t>
            </w:r>
          </w:p>
        </w:tc>
        <w:tc>
          <w:tcPr>
            <w:tcW w:type="dxa" w:w="19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Todos</w:t>
            </w:r>
          </w:p>
        </w:tc>
        <w:tc>
          <w:tcPr>
            <w:tcW w:type="dxa" w:w="27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Acceder solo a operaciones permitidas.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API responde 401 sin sesión y 403 sin permiso.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Diagrama de casos de uso</w:t>
      </w:r>
    </w:p>
    <w:p>
      <w:pPr>
        <w:spacing w:after="100" w:before="120"/>
        <w:jc w:val="center"/>
      </w:pPr>
      <w:r>
        <w:drawing>
          <wp:inline distT="0" distB="0" distL="0" distR="0">
            <wp:extent cx="6667500" cy="5476875"/>
            <wp:effectExtent t="0" r="0" b="0" l="0"/>
            <wp:docPr id="1" name="casos-de-uso-enlyce.png" descr="Figura 1. Capacidades de ENLYCE agrupadas por actor y contexto." title="Figura 1. Capacidades de ENLYCE agrupadas por actor y contex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1. Capacidades de ENLYCE agrupadas por actor y contexto.</w:t>
      </w:r>
    </w:p>
    <w:p>
      <w:pPr>
        <w:shd w:fill="FFF8DF" w:color="auto" w:val="clear"/>
        <w:spacing w:after="180" w:before="100"/>
      </w:pPr>
      <w:r>
        <w:rPr>
          <w:rFonts w:ascii="Times New Roman" w:cs="Times New Roman" w:eastAsia="Times New Roman" w:hAnsi="Times New Roman"/>
          <w:b/>
          <w:bCs/>
          <w:color w:val="26352F"/>
          <w:sz w:val="21"/>
          <w:szCs w:val="21"/>
        </w:rPr>
        <w:t xml:space="preserve">Aclaración: la guía usa “Registrarse”. ENLYCE no permite auto-registro; solo el Administrador ejecuta Registrar asesor.</w:t>
      </w:r>
    </w:p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Descripción textual de tres casos de uso</w:t>
      </w:r>
    </w:p>
    <w:p>
      <w:pPr>
        <w:pStyle w:val="Heading2"/>
        <w:pBdr>
          <w:bottom w:val="single" w:color="B08A4B" w:sz="9"/>
        </w:pBdr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UC-01 — Autenticar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Asesor o Administrador.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Acceder al CRM con la identidad y permisos correspondientes.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asesor está registrado y activo.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usuario envía correo y contraseña desde el formulario de acceso.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1. El CRM valida campos. 2. Envía POST /api/auth/login. 3. La API busca al asesor. 4. Verifica contraseña y estado. 5. Genera el JWT. 6. Crea la cookie segura _enlyce_auth. 7. Responde con nombre y rol. 8. El CRM abre el panel privado.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Alternativas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Campos incompletos: no se envía. Credenciales inválidas: 401. Asesor inactivo: 401.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Existe una sesión autenticada mediante cookie HttpOnly y el usuario accede según su rol.</w:t>
            </w:r>
          </w:p>
        </w:tc>
      </w:tr>
    </w:tbl>
    <w:p>
      <w:pPr>
        <w:pStyle w:val="Heading2"/>
        <w:pBdr>
          <w:bottom w:val="single" w:color="B08A4B" w:sz="9"/>
        </w:pBdr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UC-02 — Registrar asesor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Administrador.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Crear una cuenta interna para un asesor o administrador.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actor inició sesión y posee rol Administrador.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administrador diligencia nombre, correo, contraseña y rol.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1. El CRM envía POST /api/auth/register. 2. La API verifica autorización. 3. Application valida el correo único. 4. Genera el hash BCrypt. 5. Crea el asesor activo. 6. Persiste la entidad. 7. Responde 201 con identificador y nombre.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Alternativas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Sin sesión: 401. Rol Asesor: 403. Correo repetido o datos inválidos: solicitud rechazada.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asesor queda registrado y puede autenticarse.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B08A4B" w:sz="9"/>
        </w:pBdr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UC-03 — Registrar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 o Asesor.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Registrar una oportunidad comercial y su decisión sobre autorización de datos.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Existen nombre y correo válidos; el origen informa si hubo autorización.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El interesado solicita información o el asesor registra el contacto.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1. La interfaz envía POST /api/leads. 2. Application valida datos y referencias. 3. Busca contactos existentes. 4. Crea el lead cuando representa una oportunidad nueva. 5. Registra consentimiento cuando fue autorizado y existe política activa. 6. Envía confirmación. 7. La API responde 201.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Alternativas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Datos inválidos: 400. Misma oportunidad: registra recontacto sin duplicar. Publicación diferente: crea otra oportunidad.</w:t>
            </w:r>
          </w:p>
        </w:tc>
      </w:tr>
      <w:tr>
        <w:tc>
          <w:tcPr>
            <w:tcW w:type="dxa" w:w="23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Queda una oportunidad nueva o un recontacto trazable; el consentimiento queda vinculado cuando corresponde.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Diagrama de actividad — Autenticar</w:t>
      </w:r>
    </w:p>
    <w:p>
      <w:pPr>
        <w:spacing w:after="100" w:before="120"/>
        <w:jc w:val="center"/>
      </w:pPr>
      <w:r>
        <w:drawing>
          <wp:inline distT="0" distB="0" distL="0" distR="0">
            <wp:extent cx="5429250" cy="5581650"/>
            <wp:effectExtent t="0" r="0" b="0" l="0"/>
            <wp:docPr id="1" name="actividad-autenticar.png" descr="Figura 2. Actividad del caso de uso Autenticar." title="Figura 2. Actividad del caso de uso Autentic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2. Actividad del caso de uso Autenticar.</w:t>
      </w:r>
    </w:p>
    <w:p>
      <w:pPr>
        <w:sectPr>
          <w:footerReference w:type="default" r:id="rId8"/>
          <w:type w:val="nextPage"/>
          <w:pgSz w:w="15840" w:h="12240" w:orient="landscape"/>
          <w:pgMar w:top="400" w:right="600" w:bottom="400" w:left="6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A4B" w:sz="9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Diagrama de clases</w:t>
      </w:r>
    </w:p>
    <w:p>
      <w:pPr>
        <w:spacing w:after="100" w:before="120"/>
        <w:jc w:val="center"/>
      </w:pPr>
      <w:r>
        <w:drawing>
          <wp:inline distT="0" distB="0" distL="0" distR="0">
            <wp:extent cx="5143500" cy="6124575"/>
            <wp:effectExtent t="0" r="0" b="0" l="0"/>
            <wp:docPr id="1" name="clases-dominio-enlyce.png" descr="Figura 3. Vista conceptual del dominio organizada por agregados." title="Figura 3. Vista conceptual del dominio organizada por agreg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3. Vista conceptual del dominio organizada por agregados.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Las líneas continuas representan relaciones de agregado configuradas en EF Core. Las punteadas muestran asociaciones conceptuales mediante identificadores. Para conservar la lectura se omiten conexiones secundarias de Asesor con Interacción y Visita; sus identificadores siguen visibles en las clases.</w:t>
      </w:r>
    </w:p>
    <w:p>
      <w:pPr>
        <w:pStyle w:val="Heading2"/>
        <w:pBdr>
          <w:bottom w:val="single" w:color="B08A4B" w:sz="9"/>
        </w:pBdr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742A3A"/>
        </w:rPr>
        <w:t xml:space="preserve">Base de verificación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Documento contrastado contra src/, configuraciones EF Core, endpoints y pruebas de ENLYCE en el commit 13624a7, el 24 de septiembre de 2026. Los cambios locales aún no versionados del módulo administrativo de publicaciones no forman parte de estos diagramas.</w:t>
      </w:r>
    </w:p>
    <w:sectPr>
      <w:footerReference w:type="default" r:id="rId9"/>
      <w:type w:val="nextPage"/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6352F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color w:val="742A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63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bd8d06b6f1b97cab08af9f53f0b9eb6e00d335c3.png"/><Relationship Id="rId11" Type="http://schemas.openxmlformats.org/officeDocument/2006/relationships/image" Target="media/5052a740cae6a8ba3b673aa8a70f2943f9d466e2.png"/><Relationship Id="rId12" Type="http://schemas.openxmlformats.org/officeDocument/2006/relationships/image" Target="media/cdd6f9463abc582e739d27a0f4b51b8ef6764a8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práctico UML — ENLYCE</dc:title>
  <dc:creator>Samuel Andres Escobar Saldarriaga</dc:creator>
  <dc:description>Requisitos, casos de uso, actividad de autenticación y clases del proyecto ENLYCE.</dc:description>
  <cp:lastModifiedBy>Un-named</cp:lastModifiedBy>
  <cp:revision>1</cp:revision>
  <dcterms:created xsi:type="dcterms:W3CDTF">2026-09-24T20:06:15.449Z</dcterms:created>
  <dcterms:modified xsi:type="dcterms:W3CDTF">2026-09-24T20:06:15.451Z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