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right"/>
      </w:pPr>
      <w:r>
        <w:rPr>
          <w:rFonts w:ascii="Times New Roman" w:cs="Times New Roman" w:eastAsia="Times New Roman" w:hAnsi="Times New Roman"/>
          <w:b/>
          <w:bCs/>
          <w:color w:val="B08A4B"/>
          <w:sz w:val="78"/>
          <w:szCs w:val="78"/>
        </w:rPr>
        <w:t xml:space="preserve">02</w:t>
      </w:r>
    </w:p>
    <w:p>
      <w:pPr>
        <w:spacing w:after="20"/>
        <w:jc w:val="left"/>
      </w:pPr>
      <w:r>
        <w:rPr>
          <w:rFonts w:ascii="Times New Roman" w:cs="Times New Roman" w:eastAsia="Times New Roman" w:hAnsi="Times New Roman"/>
          <w:b/>
          <w:bCs/>
          <w:color w:val="26352F"/>
          <w:sz w:val="66"/>
          <w:szCs w:val="66"/>
        </w:rPr>
        <w:t xml:space="preserve">ENLYCE</w:t>
      </w:r>
    </w:p>
    <w:p>
      <w:pPr>
        <w:pBdr>
          <w:bottom w:val="single" w:color="742A3A" w:sz="18"/>
        </w:pBdr>
        <w:spacing w:after="300"/>
        <w:jc w:val="left"/>
      </w:pPr>
      <w:r>
        <w:rPr>
          <w:rFonts w:ascii="Times New Roman" w:cs="Times New Roman" w:eastAsia="Times New Roman" w:hAnsi="Times New Roman"/>
          <w:b/>
          <w:bCs/>
          <w:color w:val="742A3A"/>
          <w:spacing w:val="40"/>
          <w:sz w:val="25"/>
          <w:szCs w:val="25"/>
        </w:rPr>
        <w:t xml:space="preserve">TALLER PRÁCTICO · MODELADO UML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Estudiante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Samuel Andres Escobar Saldarriaga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Modalidad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Trabajo individual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Ficha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Celular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Correo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 DE COMPLETAR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Fecha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24 de septiembre de 2026</w:t>
            </w:r>
          </w:p>
        </w:tc>
      </w:tr>
    </w:tbl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Integrante e idea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2260"/>
        <w:gridCol w:w="2600"/>
      </w:tblGrid>
      <w:tr>
        <w:trPr>
          <w:tblHeader/>
        </w:trPr>
        <w:tc>
          <w:tcPr>
            <w:tcW w:type="dxa" w:w="28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Nombre y apellido</w:t>
            </w:r>
          </w:p>
        </w:tc>
        <w:tc>
          <w:tcPr>
            <w:tcW w:type="dxa" w:w="1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Celular</w:t>
            </w:r>
          </w:p>
        </w:tc>
        <w:tc>
          <w:tcPr>
            <w:tcW w:type="dxa" w:w="22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Correo</w:t>
            </w:r>
          </w:p>
        </w:tc>
        <w:tc>
          <w:tcPr>
            <w:tcW w:type="dxa" w:w="26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Idea de proyecto</w:t>
            </w:r>
          </w:p>
        </w:tc>
      </w:tr>
      <w:tr>
        <w:tc>
          <w:tcPr>
            <w:tcW w:type="dxa" w:w="28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Samuel Andres Escobar Saldarriaga</w:t>
            </w:r>
          </w:p>
        </w:tc>
        <w:tc>
          <w:tcPr>
            <w:tcW w:type="dxa" w:w="1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</w:t>
            </w:r>
          </w:p>
        </w:tc>
        <w:tc>
          <w:tcPr>
            <w:tcW w:type="dxa" w:w="22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Pendiente</w:t>
            </w:r>
          </w:p>
        </w:tc>
        <w:tc>
          <w:tcPr>
            <w:tcW w:type="dxa" w:w="26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ENLYCE — CRM inmobiliario</w:t>
            </w:r>
          </w:p>
        </w:tc>
      </w:tr>
    </w:tbl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Nombre del proyecto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ENLYCE — CRM inmobiliario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Descripción del problema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Las inmobiliarias pequeñas gestionan oportunidades, inmuebles y seguimientos mediante WhatsApp, hojas de cálculo y notas dispersas. Esto provoca pérdida de contactos, duplicidad de atención, poca visibilidad sobre el trabajo de los asesores y dificultades para demostrar el tratamiento autorizado de datos personales. ENLYCE centraliza el proceso comercial: capta interesados, organiza cada oportunidad en un pipeline, asigna responsables, registra interacciones y visitas, publica inmuebles y conserva evidencia de consentimiento.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Requisitos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1900"/>
        <w:gridCol w:w="2700"/>
        <w:gridCol w:w="3910"/>
      </w:tblGrid>
      <w:tr>
        <w:trPr>
          <w:tblHeader/>
        </w:trP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Requisito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26352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Criterio observable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RU-01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Iniciar y cerrar sesión.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Credenciales válidas crean una sesión segura; cerrar sesión elimina la cookie.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RU-02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asesores.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Solo el Administrador crea cuentas con correo único.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RU-03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 / 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una oportunidad comercial.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Se crea el lead o se registra el recontacto si el correo ya existe.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RU-04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Asignar o reasignar leads.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lead queda vinculado con el asesor seleccionado.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RU-05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pipeline y mover leads.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tablero muestra etapas y conserva el cambio.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RU-06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interacciones.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gestión queda asociada con lead y asesor.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RU-07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Programar y consultar visitas.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visita vincula lead, inmueble, asesor y fecha.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RU-08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Gestionar inmuebles.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Usuarios autorizados registran y consultan inmuebles.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RU-09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catálogo público.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Catálogo y ficha se consultan sin autenticación.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RU-10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Titular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Gestionar datos personales.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Se pueden consultar o suprimir datos según autorización y rol.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RU-11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/ Administrador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Consultar alertas.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Cada usuario ve alertas según su alcance.</w:t>
            </w:r>
          </w:p>
        </w:tc>
      </w:tr>
      <w:tr>
        <w:tc>
          <w:tcPr>
            <w:tcW w:type="dxa" w:w="85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RU-12</w:t>
            </w:r>
          </w:p>
        </w:tc>
        <w:tc>
          <w:tcPr>
            <w:tcW w:type="dxa" w:w="19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Todos</w:t>
            </w:r>
          </w:p>
        </w:tc>
        <w:tc>
          <w:tcPr>
            <w:tcW w:type="dxa" w:w="27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Acceder solo a operaciones permitidas.</w:t>
            </w:r>
          </w:p>
        </w:tc>
        <w:tc>
          <w:tcPr>
            <w:tcW w:type="dxa" w:w="391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F7F9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La API responde 401 sin sesión y 403 sin permiso.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casos de uso</w:t>
      </w:r>
    </w:p>
    <w:p>
      <w:pPr>
        <w:spacing w:after="100" w:before="120"/>
        <w:jc w:val="center"/>
      </w:pPr>
      <w:r>
        <w:drawing>
          <wp:inline distT="0" distB="0" distL="0" distR="0">
            <wp:extent cx="6667500" cy="5476875"/>
            <wp:effectExtent t="0" r="0" b="0" l="0"/>
            <wp:docPr id="1" name="casos-de-uso-enlyce.png" descr="Figura 1. Capacidades de ENLYCE agrupadas por actor y contexto." title="Figura 1. Capacidades de ENLYCE agrupadas por actor y contex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1. Capacidades de ENLYCE agrupadas por actor y contexto.</w:t>
      </w:r>
    </w:p>
    <w:p>
      <w:pPr>
        <w:shd w:fill="FFF8DF" w:color="auto" w:val="clear"/>
        <w:spacing w:after="180" w:before="100"/>
      </w:pPr>
      <w:r>
        <w:rPr>
          <w:rFonts w:ascii="Times New Roman" w:cs="Times New Roman" w:eastAsia="Times New Roman" w:hAnsi="Times New Roman"/>
          <w:b/>
          <w:bCs/>
          <w:color w:val="26352F"/>
          <w:sz w:val="21"/>
          <w:szCs w:val="21"/>
        </w:rPr>
        <w:t xml:space="preserve">Aclaración: la guía usa “Registrarse”. ENLYCE no permite auto-registro; solo el Administrador ejecuta Registrar asesor.</w:t>
      </w: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Descripción textual de tres casos de uso</w:t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UC-01 — Autenticar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Asesor o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Acceder al CRM con la identidad y permisos correspondientes.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asesor está registrado y activo.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usuario envía correo y contraseña desde el formulario de acceso.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El CRM valida campos. 2. Envía POST /api/auth/login. 3. La API busca al asesor. 4. Verifica contraseña y estado. 5. Genera el JWT. 6. Crea la cookie segura _enlyce_auth. 7. Responde con nombre y rol. 8. El CRM abre el panel privado.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Campos incompletos: no se envía. Credenciales inválidas: 401. Asesor inactivo: 401.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Existe una sesión autenticada mediante cookie HttpOnly y el usuario accede según su rol.</w:t>
            </w:r>
          </w:p>
        </w:tc>
      </w:tr>
    </w:tbl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UC-02 — Registrar asesor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Crear una cuenta interna para un asesor o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actor inició sesión y posee rol Administrador.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administrador diligencia nombre, correo, contraseña y rol.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El CRM envía POST /api/auth/register. 2. La API verifica autorización. 3. Application valida el correo único. 4. Genera el hash BCrypt. 5. Crea el asesor activo. 6. Persiste la entidad. 7. Responde 201 con identificador y nombre.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Sin sesión: 401. Rol Asesor: 403. Correo repetido o datos inválidos: solicitud rechazada.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asesor queda registrado y puede autenticarse.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UC-03 — Registrar lead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Actor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Visitante o Asesor.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Objetivo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Registrar una oportunidad comercial y su decisión sobre autorización de datos.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Existen nombre y correo válidos; el origen informa si hubo autorización.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Disparador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El interesado solicita información o el asesor registra el contacto.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1. La interfaz envía POST /api/leads. 2. Application valida datos y referencias. 3. Busca contactos existentes. 4. Crea el lead cuando representa una oportunidad nueva. 5. Registra consentimiento cuando fue autorizado y existe política activa. 6. Envía confirmación. 7. La API responde 201.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Alternativas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Datos inválidos: 400. Misma oportunidad: registra recontacto sin duplicar. Publicación diferente: crea otra oportunidad.</w:t>
            </w:r>
          </w:p>
        </w:tc>
      </w:tr>
      <w:tr>
        <w:tc>
          <w:tcPr>
            <w:tcW w:type="dxa" w:w="230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shd w:fill="E4ECE6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26352F"/>
                <w:sz w:val="21"/>
                <w:szCs w:val="21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C9BFAE" w:sz="5"/>
              <w:left w:val="single" w:color="C9BFAE" w:sz="5"/>
              <w:bottom w:val="single" w:color="C9BFAE" w:sz="5"/>
              <w:right w:val="single" w:color="C9BFAE" w:sz="5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color w:val="26352F"/>
                <w:sz w:val="21"/>
                <w:szCs w:val="21"/>
              </w:rPr>
              <w:t xml:space="preserve">Queda una oportunidad nueva o un recontacto trazable; el consentimiento queda vinculado cuando corresponde.</w:t>
            </w:r>
          </w:p>
        </w:tc>
      </w:tr>
    </w:tbl>
    <w:p>
      <w:pPr>
        <w:sectPr>
          <w:footerReference w:type="default" r:id="rId7"/>
          <w:pgSz w:w="12240" w:h="15840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actividad — Autenticar</w:t>
      </w:r>
    </w:p>
    <w:p>
      <w:pPr>
        <w:spacing w:after="100" w:before="120"/>
        <w:jc w:val="center"/>
      </w:pPr>
      <w:r>
        <w:drawing>
          <wp:inline distT="0" distB="0" distL="0" distR="0">
            <wp:extent cx="5429250" cy="5581650"/>
            <wp:effectExtent t="0" r="0" b="0" l="0"/>
            <wp:docPr id="1" name="actividad-autenticar.png" descr="Figura 2. Actividad del caso de uso Autenticar." title="Figura 2. Actividad del caso de uso Autentic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2. Actividad del caso de uso Autenticar.</w:t>
      </w:r>
    </w:p>
    <w:p>
      <w:pPr>
        <w:sectPr>
          <w:footerReference w:type="default" r:id="rId8"/>
          <w:type w:val="nextPage"/>
          <w:pgSz w:w="15840" w:h="12240" w:orient="landscape"/>
          <w:pgMar w:top="400" w:right="600" w:bottom="400" w:left="6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08A4B" w:sz="9"/>
        </w:pBd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Diagrama de clases</w:t>
      </w:r>
    </w:p>
    <w:p>
      <w:pPr>
        <w:spacing w:after="100" w:before="120"/>
        <w:jc w:val="center"/>
      </w:pPr>
      <w:r>
        <w:drawing>
          <wp:inline distT="0" distB="0" distL="0" distR="0">
            <wp:extent cx="5143500" cy="6124575"/>
            <wp:effectExtent t="0" r="0" b="0" l="0"/>
            <wp:docPr id="1" name="clases-dominio-enlyce.png" descr="Figura 3. Vista conceptual del dominio organizada por agregados." title="Figura 3. Vista conceptual del dominio organizada por agreg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655F56"/>
          <w:sz w:val="18"/>
          <w:szCs w:val="18"/>
        </w:rPr>
        <w:t xml:space="preserve">Figura 3. Vista conceptual del dominio organizada por agregados.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Las líneas continuas representan relaciones de agregado configuradas en EF Core. Las punteadas muestran asociaciones conceptuales mediante identificadores. Para conservar la lectura se omiten conexiones secundarias de Asesor con Interacción y Visita; sus identificadores siguen visibles en las clases.</w:t>
      </w:r>
    </w:p>
    <w:p>
      <w:pPr>
        <w:pStyle w:val="Heading2"/>
        <w:pBdr>
          <w:bottom w:val="single" w:color="B08A4B" w:sz="9"/>
        </w:pBdr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742A3A"/>
        </w:rPr>
        <w:t xml:space="preserve">Base de verificación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6352F"/>
          <w:sz w:val="21"/>
          <w:szCs w:val="21"/>
        </w:rPr>
        <w:t xml:space="preserve">Documento contrastado contra src/, configuraciones EF Core, endpoints y pruebas de ENLYCE en el commit 13624a7, el 24 de septiembre de 2026. Los cambios locales aún no versionados del módulo administrativo de publicaciones no forman parte de estos diagramas.</w:t>
      </w:r>
    </w:p>
    <w:sectPr>
      <w:footerReference w:type="default" r:id="rId9"/>
      <w:type w:val="nextPage"/>
      <w:pgSz w:w="12240" w:h="15840" w:orient="portrait"/>
      <w:pgMar w:top="500" w:right="7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55F56"/>
        <w:sz w:val="18"/>
        <w:szCs w:val="18"/>
      </w:rPr>
      <w:t xml:space="preserve">ENLYCE · Taller práctico UML · </w:t>
    </w:r>
    <w:r>
      <w:rPr>
        <w:rFonts w:ascii="Times New Roman" w:cs="Times New Roman" w:eastAsia="Times New Roman" w:hAnsi="Times New Roman"/>
        <w:color w:val="655F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6352F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Times New Roman" w:cs="Times New Roman" w:eastAsia="Times New Roman" w:hAnsi="Times New Roman"/>
      <w:b/>
      <w:bCs/>
      <w:color w:val="742A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6352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072c7dd229638ffbce66161a7d9ebd789a7a69da.png"/><Relationship Id="rId11" Type="http://schemas.openxmlformats.org/officeDocument/2006/relationships/image" Target="media/5052a740cae6a8ba3b673aa8a70f2943f9d466e2.png"/><Relationship Id="rId12" Type="http://schemas.openxmlformats.org/officeDocument/2006/relationships/image" Target="media/cdd6f9463abc582e739d27a0f4b51b8ef6764a8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práctico UML — ENLYCE</dc:title>
  <dc:creator>Samuel Andres Escobar Saldarriaga</dc:creator>
  <dc:description>Requisitos, casos de uso, actividad de autenticación y clases del proyecto ENLYCE.</dc:description>
  <cp:lastModifiedBy>Un-named</cp:lastModifiedBy>
  <cp:revision>1</cp:revision>
  <dcterms:created xsi:type="dcterms:W3CDTF">2026-09-24T20:13:57.536Z</dcterms:created>
  <dcterms:modified xsi:type="dcterms:W3CDTF">2026-09-24T20:13:57.538Z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