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00"/>
        <w:jc w:val="center"/>
      </w:pPr>
      <w:r>
        <w:rPr>
          <w:rFonts w:ascii="Aptos Display" w:cs="Aptos Display" w:eastAsia="Aptos Display" w:hAnsi="Aptos Display"/>
          <w:b/>
          <w:bCs/>
          <w:color w:val="17324D"/>
          <w:sz w:val="38"/>
          <w:szCs w:val="38"/>
        </w:rPr>
        <w:t xml:space="preserve">TALLER PRÁCTICO UML</w:t>
      </w:r>
    </w:p>
    <w:p>
      <w:pPr>
        <w:spacing w:after="360"/>
        <w:jc w:val="center"/>
      </w:pPr>
      <w:r>
        <w:rPr>
          <w:rFonts w:ascii="Aptos Display" w:cs="Aptos Display" w:eastAsia="Aptos Display" w:hAnsi="Aptos Display"/>
          <w:color w:val="2D6A8A"/>
          <w:sz w:val="28"/>
          <w:szCs w:val="28"/>
        </w:rPr>
        <w:t xml:space="preserve">Proyecto ENLYCE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Estudiante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Samuel Andres Escobar Saldarriaga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Modalidad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Trabajo individual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Ficha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Celular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Correo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Fecha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24 de septiembre de 2026</w:t>
            </w:r>
          </w:p>
        </w:tc>
      </w:tr>
    </w:tbl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Integrante e idea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2260"/>
        <w:gridCol w:w="2600"/>
      </w:tblGrid>
      <w:tr>
        <w:trPr>
          <w:tblHeader/>
        </w:trPr>
        <w:tc>
          <w:tcPr>
            <w:tcW w:type="dxa" w:w="28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Nombre y apellido</w:t>
            </w:r>
          </w:p>
        </w:tc>
        <w:tc>
          <w:tcPr>
            <w:tcW w:type="dxa" w:w="1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Celular</w:t>
            </w:r>
          </w:p>
        </w:tc>
        <w:tc>
          <w:tcPr>
            <w:tcW w:type="dxa" w:w="22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Correo</w:t>
            </w:r>
          </w:p>
        </w:tc>
        <w:tc>
          <w:tcPr>
            <w:tcW w:type="dxa" w:w="26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Idea de proyecto</w:t>
            </w:r>
          </w:p>
        </w:tc>
      </w:tr>
      <w:tr>
        <w:tc>
          <w:tcPr>
            <w:tcW w:type="dxa" w:w="28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Samuel Andres Escobar Saldarriaga</w:t>
            </w:r>
          </w:p>
        </w:tc>
        <w:tc>
          <w:tcPr>
            <w:tcW w:type="dxa" w:w="1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Pendiente</w:t>
            </w:r>
          </w:p>
        </w:tc>
        <w:tc>
          <w:tcPr>
            <w:tcW w:type="dxa" w:w="22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Pendiente</w:t>
            </w:r>
          </w:p>
        </w:tc>
        <w:tc>
          <w:tcPr>
            <w:tcW w:type="dxa" w:w="26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ENLYCE — CRM inmobiliario</w:t>
            </w:r>
          </w:p>
        </w:tc>
      </w:tr>
    </w:tbl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Nombre del proyecto</w:t>
      </w:r>
    </w:p>
    <w:p>
      <w:pPr>
        <w:spacing w:after="120" w:line="276"/>
      </w:pPr>
      <w:r>
        <w:rPr>
          <w:rFonts w:ascii="Aptos" w:cs="Aptos" w:eastAsia="Aptos" w:hAnsi="Aptos"/>
          <w:color w:val="1F2933"/>
          <w:sz w:val="21"/>
          <w:szCs w:val="21"/>
        </w:rPr>
        <w:t xml:space="preserve">ENLYCE — CRM inmobiliario</w:t>
      </w:r>
    </w:p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Descripción del problema</w:t>
      </w:r>
    </w:p>
    <w:p>
      <w:pPr>
        <w:spacing w:after="120" w:line="276"/>
      </w:pPr>
      <w:r>
        <w:rPr>
          <w:rFonts w:ascii="Aptos" w:cs="Aptos" w:eastAsia="Aptos" w:hAnsi="Aptos"/>
          <w:color w:val="1F2933"/>
          <w:sz w:val="21"/>
          <w:szCs w:val="21"/>
        </w:rPr>
        <w:t xml:space="preserve">Las inmobiliarias pequeñas gestionan oportunidades, inmuebles y seguimientos mediante WhatsApp, hojas de cálculo y notas dispersas. Esto provoca pérdida de contactos, duplicidad de atención, poca visibilidad sobre el trabajo de los asesores y dificultades para demostrar el tratamiento autorizado de datos personales. ENLYCE centraliza el proceso comercial: capta interesados, organiza cada oportunidad en un pipeline, asigna responsables, registra interacciones y visitas, publica inmuebles y conserva evidencia de consentimiento.</w:t>
      </w:r>
    </w:p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Requisitos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1900"/>
        <w:gridCol w:w="2700"/>
        <w:gridCol w:w="3910"/>
      </w:tblGrid>
      <w:tr>
        <w:trPr>
          <w:tblHeader/>
        </w:trP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Requisito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17324D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Criterio observable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RU-01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Iniciar y cerrar sesión.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Credenciales válidas crean una sesión segura; cerrar sesión elimina la cookie.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RU-02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Registrar asesores.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Solo el Administrador crea cuentas con correo único.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RU-03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Visitante / Asesor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Registrar una oportunidad comercial.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Se crea el lead o se registra el recontacto si el correo ya existe.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RU-04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Asignar o reasignar leads.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lead queda vinculado con el asesor seleccionado.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RU-05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Consultar pipeline y mover leads.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tablero muestra etapas y conserva el cambio.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RU-06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Registrar interacciones.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La gestión queda asociada con lead y asesor.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RU-07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Programar y consultar visitas.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La visita vincula lead, inmueble, asesor y fecha.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RU-08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Gestionar inmuebles.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Usuarios autorizados registran y consultan inmuebles.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RU-09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Visitante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Consultar catálogo público.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Catálogo y ficha se consultan sin autenticación.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RU-10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Titular / Administrador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Gestionar datos personales.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Se pueden consultar o suprimir datos según autorización y rol.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RU-11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Consultar alertas.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Cada usuario ve alertas según su alcance.</w:t>
            </w:r>
          </w:p>
        </w:tc>
      </w:tr>
      <w:tr>
        <w:tc>
          <w:tcPr>
            <w:tcW w:type="dxa" w:w="85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RU-12</w:t>
            </w:r>
          </w:p>
        </w:tc>
        <w:tc>
          <w:tcPr>
            <w:tcW w:type="dxa" w:w="19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Todos</w:t>
            </w:r>
          </w:p>
        </w:tc>
        <w:tc>
          <w:tcPr>
            <w:tcW w:type="dxa" w:w="27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Acceder solo a operaciones permitidas.</w:t>
            </w:r>
          </w:p>
        </w:tc>
        <w:tc>
          <w:tcPr>
            <w:tcW w:type="dxa" w:w="391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La API responde 401 sin sesión y 403 sin permiso.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Diagrama de casos de uso</w:t>
      </w:r>
    </w:p>
    <w:p>
      <w:pPr>
        <w:spacing w:after="100" w:before="120"/>
        <w:jc w:val="center"/>
      </w:pPr>
      <w:r>
        <w:drawing>
          <wp:inline distT="0" distB="0" distL="0" distR="0">
            <wp:extent cx="5381625" cy="7553325"/>
            <wp:effectExtent t="0" r="0" b="0" l="0"/>
            <wp:docPr id="1" name="casos-de-uso-enlyce.png" descr="Figura 1. Casos de uso de ENLYCE." title="Figura 1. Casos de uso de ENLY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cs="Aptos" w:eastAsia="Aptos" w:hAnsi="Aptos"/>
          <w:i/>
          <w:iCs/>
          <w:color w:val="59636B"/>
          <w:sz w:val="18"/>
          <w:szCs w:val="18"/>
        </w:rPr>
        <w:t xml:space="preserve">Figura 1. Casos de uso de ENLYCE.</w:t>
      </w:r>
    </w:p>
    <w:p>
      <w:pPr>
        <w:shd w:fill="FFF4CC" w:color="auto" w:val="clear"/>
        <w:spacing w:after="180" w:before="100"/>
      </w:pPr>
      <w:r>
        <w:rPr>
          <w:rFonts w:ascii="Aptos" w:cs="Aptos" w:eastAsia="Aptos" w:hAnsi="Aptos"/>
          <w:b/>
          <w:bCs/>
          <w:color w:val="1F2933"/>
          <w:sz w:val="21"/>
          <w:szCs w:val="21"/>
        </w:rPr>
        <w:t xml:space="preserve">Aclaración: la guía usa “Registrarse”. ENLYCE no permite auto-registro; solo el Administrador ejecuta Registrar asesor.</w:t>
      </w:r>
    </w:p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Descripción textual de tres casos de uso</w:t>
      </w:r>
    </w:p>
    <w:p>
      <w:pPr>
        <w:pStyle w:val="Heading2"/>
        <w:spacing w:after="120" w:before="18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UC-01 — Autenticar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Asesor o Administrador.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Acceder al CRM con la identidad y permisos correspondientes.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asesor está registrado y activo.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usuario envía correo y contraseña desde el formulario de acceso.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1. El CRM valida campos. 2. Envía POST /api/auth/login. 3. La API busca al asesor. 4. Verifica contraseña y estado. 5. Genera el JWT. 6. Crea la cookie segura _enlyce_auth. 7. Responde con nombre y rol. 8. El CRM abre el panel privado.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Campos incompletos: no se envía. Credenciales inválidas: 401. Asesor inactivo: 401.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Existe una sesión autenticada mediante cookie HttpOnly y el usuario accede según su rol.</w:t>
            </w:r>
          </w:p>
        </w:tc>
      </w:tr>
    </w:tbl>
    <w:p>
      <w:pPr>
        <w:pStyle w:val="Heading2"/>
        <w:spacing w:after="120" w:before="18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UC-02 — Registrar asesor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Administrador.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Crear una cuenta interna para un asesor o administrador.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actor inició sesión y posee rol Administrador.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administrador diligencia nombre, correo, contraseña y rol.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1. El CRM envía POST /api/auth/register. 2. La API verifica autorización. 3. Application valida el correo único. 4. Genera el hash BCrypt. 5. Crea el asesor activo. 6. Persiste la entidad. 7. Responde 201 con identificador y nombre.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Sin sesión: 401. Rol Asesor: 403. Correo repetido o datos inválidos: solicitud rechazada.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asesor queda registrado y puede autenticarse.</w:t>
            </w:r>
          </w:p>
        </w:tc>
      </w:tr>
    </w:tbl>
    <w:p>
      <w:r>
        <w:br w:type="page"/>
      </w:r>
    </w:p>
    <w:p>
      <w:pPr>
        <w:pStyle w:val="Heading2"/>
        <w:spacing w:after="120" w:before="18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UC-03 — Registrar lead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Visitante o Asesor.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Registrar una oportunidad comercial y su decisión sobre autorización de datos.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Existen nombre y correo válidos; el origen informa si hubo autorización.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El interesado solicita información o el asesor registra el contacto.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1. La interfaz envía POST /api/leads. 2. Application valida datos y referencias. 3. Busca contactos existentes. 4. Crea el lead cuando representa una oportunidad nueva. 5. Registra consentimiento cuando fue autorizado y existe política activa. 6. Envía confirmación. 7. La API responde 201.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Datos inválidos: 400. Misma oportunidad: registra recontacto sin duplicar. Publicación diferente: crea otra oportunidad.</w:t>
            </w:r>
          </w:p>
        </w:tc>
      </w:tr>
      <w:tr>
        <w:tc>
          <w:tcPr>
            <w:tcW w:type="dxa" w:w="230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shd w:fill="EAF2F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olor w:val="17324D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AAB8C2" w:sz="5"/>
              <w:left w:val="single" w:color="AAB8C2" w:sz="5"/>
              <w:bottom w:val="single" w:color="AAB8C2" w:sz="5"/>
              <w:right w:val="single" w:color="AAB8C2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color w:val="1F2933"/>
                <w:sz w:val="21"/>
                <w:szCs w:val="21"/>
              </w:rPr>
              <w:t xml:space="preserve">Queda una oportunidad nueva o un recontacto trazable; el consentimiento queda vinculado cuando corresponde.</w:t>
            </w:r>
          </w:p>
        </w:tc>
      </w:tr>
    </w:tbl>
    <w:p>
      <w:pPr>
        <w:sectPr>
          <w:footerReference w:type="default" r:id="rId7"/>
          <w:pgSz w:w="12240" w:h="15840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Diagrama de actividad — Autenticar</w:t>
      </w:r>
    </w:p>
    <w:p>
      <w:pPr>
        <w:spacing w:after="100" w:before="120"/>
        <w:jc w:val="center"/>
      </w:pPr>
      <w:r>
        <w:drawing>
          <wp:inline distT="0" distB="0" distL="0" distR="0">
            <wp:extent cx="5429250" cy="5581650"/>
            <wp:effectExtent t="0" r="0" b="0" l="0"/>
            <wp:docPr id="1" name="actividad-autenticar.png" descr="Figura 2. Actividad del caso de uso Autenticar." title="Figura 2. Actividad del caso de uso Autentic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cs="Aptos" w:eastAsia="Aptos" w:hAnsi="Aptos"/>
          <w:i/>
          <w:iCs/>
          <w:color w:val="59636B"/>
          <w:sz w:val="18"/>
          <w:szCs w:val="18"/>
        </w:rPr>
        <w:t xml:space="preserve">Figura 2. Actividad del caso de uso Autenticar.</w:t>
      </w:r>
    </w:p>
    <w:p>
      <w:pPr>
        <w:sectPr>
          <w:footerReference w:type="default" r:id="rId8"/>
          <w:type w:val="nextPage"/>
          <w:pgSz w:w="15840" w:h="12240" w:orient="landscape"/>
          <w:pgMar w:top="400" w:right="600" w:bottom="400" w:left="60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Diagrama de clases</w:t>
      </w:r>
    </w:p>
    <w:p>
      <w:pPr>
        <w:spacing w:after="100" w:before="120"/>
        <w:jc w:val="center"/>
      </w:pPr>
      <w:r>
        <w:drawing>
          <wp:inline distT="0" distB="0" distL="0" distR="0">
            <wp:extent cx="7239000" cy="4857750"/>
            <wp:effectExtent t="0" r="0" b="0" l="0"/>
            <wp:docPr id="1" name="clases-dominio-enlyce.png" descr="Figura 3. Clases del dominio principal de ENLYCE." title="Figura 3. Clases del dominio principal de ENLY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cs="Aptos" w:eastAsia="Aptos" w:hAnsi="Aptos"/>
          <w:i/>
          <w:iCs/>
          <w:color w:val="59636B"/>
          <w:sz w:val="18"/>
          <w:szCs w:val="18"/>
        </w:rPr>
        <w:t xml:space="preserve">Figura 3. Clases del dominio principal de ENLYCE.</w:t>
      </w:r>
    </w:p>
    <w:p>
      <w:pPr>
        <w:spacing w:after="120" w:line="276"/>
      </w:pPr>
      <w:r>
        <w:rPr>
          <w:rFonts w:ascii="Aptos" w:cs="Aptos" w:eastAsia="Aptos" w:hAnsi="Aptos"/>
          <w:color w:val="1F2933"/>
          <w:sz w:val="21"/>
          <w:szCs w:val="21"/>
        </w:rPr>
        <w:t xml:space="preserve">Las líneas continuas representan relaciones configuradas en EF Core. Las líneas punteadas representan relaciones conceptuales implementadas mediante identificadores, pero sin clave foránea configurada actualmente.</w:t>
      </w:r>
    </w:p>
    <w:p>
      <w:pPr>
        <w:pStyle w:val="Heading2"/>
        <w:spacing w:after="120" w:before="180"/>
      </w:pPr>
      <w:r>
        <w:rPr>
          <w:rFonts w:ascii="Aptos Display" w:cs="Aptos Display" w:eastAsia="Aptos Display" w:hAnsi="Aptos Display"/>
          <w:b/>
          <w:bCs/>
          <w:color w:val="17324D"/>
        </w:rPr>
        <w:t xml:space="preserve">Base de verificación</w:t>
      </w:r>
    </w:p>
    <w:p>
      <w:pPr>
        <w:spacing w:after="120" w:line="276"/>
      </w:pPr>
      <w:r>
        <w:rPr>
          <w:rFonts w:ascii="Aptos" w:cs="Aptos" w:eastAsia="Aptos" w:hAnsi="Aptos"/>
          <w:color w:val="1F2933"/>
          <w:sz w:val="21"/>
          <w:szCs w:val="21"/>
        </w:rPr>
        <w:t xml:space="preserve">Documento contrastado contra src/, configuraciones EF Core, endpoints y pruebas de ENLYCE en el commit dc24b37, el 24 de septiembre de 2026. Los cambios locales aún no versionados del módulo administrativo de publicaciones no forman parte de estos diagramas.</w:t>
      </w:r>
    </w:p>
    <w:sectPr>
      <w:footerReference w:type="default" r:id="rId9"/>
      <w:type w:val="nextPage"/>
      <w:pgSz w:w="15840" w:h="12240" w:orient="landscape"/>
      <w:pgMar w:top="4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636B"/>
        <w:sz w:val="18"/>
        <w:szCs w:val="18"/>
      </w:rPr>
      <w:t xml:space="preserve">ENLYCE · Taller práctico UML · </w:t>
    </w:r>
    <w:r>
      <w:rPr>
        <w:rFonts w:ascii="Aptos" w:cs="Aptos" w:eastAsia="Aptos" w:hAnsi="Aptos"/>
        <w:color w:val="5963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636B"/>
        <w:sz w:val="18"/>
        <w:szCs w:val="18"/>
      </w:rPr>
      <w:t xml:space="preserve">ENLYCE · Taller práctico UML · </w:t>
    </w:r>
    <w:r>
      <w:rPr>
        <w:rFonts w:ascii="Aptos" w:cs="Aptos" w:eastAsia="Aptos" w:hAnsi="Aptos"/>
        <w:color w:val="5963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636B"/>
        <w:sz w:val="18"/>
        <w:szCs w:val="18"/>
      </w:rPr>
      <w:t xml:space="preserve">ENLYCE · Taller práctico UML · </w:t>
    </w:r>
    <w:r>
      <w:rPr>
        <w:rFonts w:ascii="Aptos" w:cs="Aptos" w:eastAsia="Aptos" w:hAnsi="Aptos"/>
        <w:color w:val="5963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ptos Display" w:cs="Aptos Display" w:eastAsia="Aptos Display" w:hAnsi="Aptos Display"/>
      <w:b/>
      <w:bCs/>
      <w:color w:val="1732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ptos Display" w:cs="Aptos Display" w:eastAsia="Aptos Display" w:hAnsi="Aptos Display"/>
      <w:b/>
      <w:bCs/>
      <w:color w:val="2D6A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ad552ef250a38c77d61166eeeaca5c35e40f65ae.png"/><Relationship Id="rId11" Type="http://schemas.openxmlformats.org/officeDocument/2006/relationships/image" Target="media/d065e893df9c03c88ea4e8a3bb8e5308e576405e.png"/><Relationship Id="rId12" Type="http://schemas.openxmlformats.org/officeDocument/2006/relationships/image" Target="media/3896267e87db74a9d9b1bab8dbd965cbfae1367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práctico UML — ENLYCE</dc:title>
  <dc:creator>Samuel Andres Escobar Saldarriaga</dc:creator>
  <dc:description>Requisitos, casos de uso, actividad de autenticación y clases del proyecto ENLYCE.</dc:description>
  <cp:lastModifiedBy>Un-named</cp:lastModifiedBy>
  <cp:revision>1</cp:revision>
  <dcterms:created xsi:type="dcterms:W3CDTF">2026-09-24T19:22:37.468Z</dcterms:created>
  <dcterms:modified xsi:type="dcterms:W3CDTF">2026-09-24T19:22:37.470Z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