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220" w:before="900" w:line="31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89B3C"/>
          <w:sz w:val="20"/>
          <w:szCs w:val="20"/>
        </w:rPr>
        <w:t xml:space="preserve">INGENIERÍA DE SOFTWARE II</w:t>
      </w:r>
    </w:p>
    <w:p>
      <w:pPr>
        <w:keepNext w:val="false"/>
        <w:spacing w:after="35" w:before="0" w:line="31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0203D"/>
          <w:sz w:val="50"/>
          <w:szCs w:val="50"/>
        </w:rPr>
        <w:t xml:space="preserve">ACTIVIDAD 8</w:t>
      </w:r>
    </w:p>
    <w:p>
      <w:pPr>
        <w:keepNext w:val="false"/>
        <w:spacing w:after="330" w:before="0" w:line="31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0203D"/>
          <w:sz w:val="30"/>
          <w:szCs w:val="30"/>
        </w:rPr>
        <w:t xml:space="preserve">Fundamentos del proceso de pruebas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00"/>
      </w:tblGrid>
      <w:tr>
        <w:tc>
          <w:tcPr>
            <w:tcW w:type="dxa" w:w="8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0203D" w:val="clear"/>
            <w:tcMar>
              <w:top w:type="dxa" w:w="330"/>
              <w:left w:type="dxa" w:w="420"/>
              <w:bottom w:type="dxa" w:w="330"/>
              <w:right w:type="dxa" w:w="420"/>
            </w:tcMar>
          </w:tcPr>
          <w:p>
            <w:pPr>
              <w:keepNext w:val="false"/>
              <w:spacing w:after="100" w:before="0" w:line="31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89B3C"/>
                <w:sz w:val="22"/>
                <w:szCs w:val="22"/>
              </w:rPr>
              <w:t xml:space="preserve">UNA VULNERABILIDAD REAL EN ENLYCE</w:t>
            </w:r>
          </w:p>
          <w:p>
            <w:pPr>
              <w:keepNext w:val="false"/>
              <w:spacing w:after="0" w:before="0" w:line="3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FFFFFF"/>
                <w:sz w:val="29"/>
                <w:szCs w:val="29"/>
              </w:rPr>
              <w:t xml:space="preserve">Cómo la encontramos, qué permitía y cómo quedó corregida</w:t>
            </w:r>
          </w:p>
        </w:tc>
      </w:tr>
    </w:tbl>
    <w:p>
      <w:pPr>
        <w:keepNext w:val="false"/>
        <w:spacing w:after="70" w:before="430" w:line="31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0203D"/>
          <w:sz w:val="24"/>
          <w:szCs w:val="24"/>
        </w:rPr>
        <w:t xml:space="preserve">Samuel Andres Escobar Saldarriaga</w:t>
      </w:r>
    </w:p>
    <w:p>
      <w:pPr>
        <w:keepNext w:val="false"/>
        <w:spacing w:after="0" w:before="0" w:line="31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573"/>
          <w:sz w:val="20"/>
          <w:szCs w:val="20"/>
        </w:rPr>
        <w:t xml:space="preserve">Trabajo individual · 27 de septiembre de 2026</w:t>
      </w:r>
    </w:p>
    <w:p>
      <w:r>
        <w:br w:type="page"/>
      </w:r>
    </w:p>
    <w:p>
      <w:pPr>
        <w:keepNext w:val="false"/>
        <w:spacing w:after="75" w:before="60" w:line="31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89B3C"/>
          <w:sz w:val="18"/>
          <w:szCs w:val="18"/>
        </w:rPr>
        <w:t xml:space="preserve">01 · LA VULNERABILIDAD</w:t>
      </w:r>
    </w:p>
    <w:p>
      <w:pPr>
        <w:pStyle w:val="Heading1"/>
        <w:keepNext/>
        <w:spacing w:after="110" w:before="200"/>
      </w:pPr>
      <w:r>
        <w:rPr>
          <w:rFonts w:ascii="Times New Roman" w:cs="Times New Roman" w:eastAsia="Times New Roman" w:hAnsi="Times New Roman"/>
          <w:b/>
          <w:bCs/>
          <w:color w:val="10203D"/>
          <w:sz w:val="32"/>
          <w:szCs w:val="32"/>
        </w:rPr>
        <w:t xml:space="preserve">Una persona podía ver y cambiar una oportunidad ajena</w:t>
      </w:r>
    </w:p>
    <w:p>
      <w:pPr>
        <w:keepNext w:val="false"/>
        <w:spacing w:after="130" w:before="0" w:line="3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B1F24"/>
          <w:sz w:val="22"/>
          <w:szCs w:val="22"/>
        </w:rPr>
        <w:t xml:space="preserve">ENLYCE recibe desde la página web los datos de quienes quieren comprar, arrendar, vender o administrar un inmueble. Cada solicitud se convierte en una oportunidad dentro del CRM.</w:t>
      </w:r>
    </w:p>
    <w:p>
      <w:pPr>
        <w:keepNext w:val="false"/>
        <w:spacing w:after="130" w:before="0" w:line="3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B1F24"/>
          <w:sz w:val="22"/>
          <w:szCs w:val="22"/>
        </w:rPr>
        <w:t xml:space="preserve">El problema aparecía cuando alguien enviaba un correo que ya estaba registrado. La respuesta mostraba información de la oportunidad existente, incluido su identificador interno. Después, ese identificador y el mismo correo bastaban para cambiar los datos del inmueble sin iniciar sesión.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"/>
        <w:gridCol w:w="9820"/>
      </w:tblGrid>
      <w:tr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C2F39" w:val="clea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2"/>
                <w:szCs w:val="22"/>
              </w:rPr>
              <w:t xml:space="preserve"/>
            </w:r>
          </w:p>
        </w:tc>
        <w:tc>
          <w:tcPr>
            <w:tcW w:type="dxa" w:w="9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2E8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/>
                <w:bCs/>
                <w:color w:val="10203D"/>
                <w:sz w:val="22"/>
                <w:szCs w:val="22"/>
              </w:rPr>
              <w:t xml:space="preserve">En palabras simples. </w:t>
            </w:r>
            <w:r>
              <w:rPr>
                <w:rFonts w:ascii="Times New Roman" w:cs="Times New Roman" w:eastAsia="Times New Roman" w:hAnsi="Times New Roman"/>
                <w:color w:val="1B1F24"/>
                <w:sz w:val="22"/>
                <w:szCs w:val="22"/>
              </w:rPr>
              <w:t xml:space="preserve">el sistema trataba dos datos visibles —correo e identificador— como si fueran una contraseña. No lo eran.</w:t>
            </w:r>
          </w:p>
        </w:tc>
      </w:tr>
    </w:tbl>
    <w:p>
      <w:pPr>
        <w:pStyle w:val="Heading2"/>
        <w:keepNext/>
        <w:spacing w:after="110" w:before="130"/>
      </w:pPr>
      <w:r>
        <w:rPr>
          <w:rFonts w:ascii="Times New Roman" w:cs="Times New Roman" w:eastAsia="Times New Roman" w:hAnsi="Times New Roman"/>
          <w:b/>
          <w:bCs/>
          <w:color w:val="8C2F39"/>
          <w:sz w:val="26"/>
          <w:szCs w:val="26"/>
        </w:rPr>
        <w:t xml:space="preserve">Ejemplo</w:t>
      </w:r>
    </w:p>
    <w:p>
      <w:pPr>
        <w:keepNext w:val="false"/>
        <w:spacing w:after="130" w:before="0" w:line="3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B1F24"/>
          <w:sz w:val="22"/>
          <w:szCs w:val="22"/>
        </w:rPr>
        <w:t xml:space="preserve">Ana había dejado su correo para vender un apartamento. Otra persona conocía ese correo, lo enviaba de nuevo y ENLYCE le devolvía la referencia interna de Ana. Con esa referencia podía cambiar el barrio, el precio o el mensaje asociado a la oportunidad.</w:t>
      </w:r>
    </w:p>
    <w:p>
      <w:pPr>
        <w:pStyle w:val="Heading2"/>
        <w:keepNext/>
        <w:spacing w:after="110" w:before="130"/>
      </w:pPr>
      <w:r>
        <w:rPr>
          <w:rFonts w:ascii="Times New Roman" w:cs="Times New Roman" w:eastAsia="Times New Roman" w:hAnsi="Times New Roman"/>
          <w:b/>
          <w:bCs/>
          <w:color w:val="8C2F39"/>
          <w:sz w:val="26"/>
          <w:szCs w:val="26"/>
        </w:rPr>
        <w:t xml:space="preserve">Nombre de la falla</w:t>
      </w:r>
    </w:p>
    <w:p>
      <w:pPr>
        <w:keepNext w:val="false"/>
        <w:spacing w:after="130" w:before="0" w:line="3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B1F24"/>
          <w:sz w:val="22"/>
          <w:szCs w:val="22"/>
        </w:rPr>
        <w:t xml:space="preserve">Esta vulnerabilidad se conoce como acceso indebido a un registro. En seguridad también recibe los nombres BOLA o IDOR, pero lo importante no es la sigla: una persona podía actuar sobre información que no le pertenecía.</w:t>
      </w:r>
    </w:p>
    <w:p>
      <w:r>
        <w:br w:type="page"/>
      </w:r>
    </w:p>
    <w:p>
      <w:pPr>
        <w:keepNext w:val="false"/>
        <w:spacing w:after="75" w:before="60" w:line="31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89B3C"/>
          <w:sz w:val="18"/>
          <w:szCs w:val="18"/>
        </w:rPr>
        <w:t xml:space="preserve">02 · CÓMO LA ENCONTRAMOS</w:t>
      </w:r>
    </w:p>
    <w:p>
      <w:pPr>
        <w:pStyle w:val="Heading1"/>
        <w:keepNext/>
        <w:spacing w:after="110" w:before="200"/>
      </w:pPr>
      <w:r>
        <w:rPr>
          <w:rFonts w:ascii="Times New Roman" w:cs="Times New Roman" w:eastAsia="Times New Roman" w:hAnsi="Times New Roman"/>
          <w:b/>
          <w:bCs/>
          <w:color w:val="10203D"/>
          <w:sz w:val="32"/>
          <w:szCs w:val="32"/>
        </w:rPr>
        <w:t xml:space="preserve">Repetimos el recorrido de un atacante, usando datos de prueba</w:t>
      </w:r>
    </w:p>
    <w:p>
      <w:pPr>
        <w:keepNext w:val="false"/>
        <w:spacing w:after="130" w:before="0" w:line="3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B1F24"/>
          <w:sz w:val="22"/>
          <w:szCs w:val="22"/>
        </w:rPr>
        <w:t xml:space="preserve">La prueba se hizo únicamente en el entorno local de ENLYCE y con información inventada. No se usaron datos de clientes reales.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Creamos una oportunidad de prueba desde el formulario público de propietarios.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Volvimos a enviar el mismo correo, como lo haría alguien que conoce el correo de otra persona.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Observamos que la respuesta revelaba el nombre, el correo, el estado y la referencia interna de la oportunidad ya existente.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Usamos esa referencia y el correo en la opción pública para completar datos del inmueble.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Revisamos el CRM y comprobamos que el barrio y el mensaje habían sido modificados.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"/>
        <w:gridCol w:w="9820"/>
      </w:tblGrid>
      <w:tr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9B3C" w:val="clea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2"/>
                <w:szCs w:val="22"/>
              </w:rPr>
              <w:t xml:space="preserve"/>
            </w:r>
          </w:p>
        </w:tc>
        <w:tc>
          <w:tcPr>
            <w:tcW w:type="dxa" w:w="9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2E8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/>
                <w:bCs/>
                <w:color w:val="10203D"/>
                <w:sz w:val="22"/>
                <w:szCs w:val="22"/>
              </w:rPr>
              <w:t xml:space="preserve">Prueba repetible. </w:t>
            </w:r>
            <w:r>
              <w:rPr>
                <w:rFonts w:ascii="Times New Roman" w:cs="Times New Roman" w:eastAsia="Times New Roman" w:hAnsi="Times New Roman"/>
                <w:color w:val="1B1F24"/>
                <w:sz w:val="22"/>
                <w:szCs w:val="22"/>
              </w:rPr>
              <w:t xml:space="preserve">convertimos el recorrido anterior en una prueba automática. Antes de la corrección falló exactamente donde debía: el sistema revelaba el registro y aceptaba el cambio.</w:t>
            </w:r>
          </w:p>
        </w:tc>
      </w:tr>
    </w:tbl>
    <w:p>
      <w:pPr>
        <w:pStyle w:val="Heading2"/>
        <w:keepNext/>
        <w:spacing w:after="110" w:before="130"/>
      </w:pPr>
      <w:r>
        <w:rPr>
          <w:rFonts w:ascii="Times New Roman" w:cs="Times New Roman" w:eastAsia="Times New Roman" w:hAnsi="Times New Roman"/>
          <w:b/>
          <w:bCs/>
          <w:color w:val="8C2F39"/>
          <w:sz w:val="26"/>
          <w:szCs w:val="26"/>
        </w:rPr>
        <w:t xml:space="preserve">La señal definitiva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40"/>
        <w:gridCol w:w="5040"/>
      </w:tblGrid>
      <w:tr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8C2F39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ANTES</w:t>
            </w:r>
          </w:p>
        </w:tc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267A5E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AHORA</w:t>
            </w:r>
          </w:p>
        </w:tc>
      </w:tr>
      <w:tr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FFFFFF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La respuesta del contacto repetido incluía datos de la oportunidad.</w:t>
            </w:r>
          </w:p>
        </w:tc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FFFFFF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La prueba exigía que no apareciera ningún dato interno.</w:t>
            </w:r>
          </w:p>
        </w:tc>
      </w:tr>
      <w:tr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F5ECEE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La dirección antigua aceptaba el cambio y respondía correctamente.</w:t>
            </w:r>
          </w:p>
        </w:tc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EAF3EF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La prueba exigía que esa dirección ya no existiera.</w:t>
            </w:r>
          </w:p>
        </w:tc>
      </w:tr>
    </w:tbl>
    <w:p>
      <w:r>
        <w:br w:type="page"/>
      </w:r>
    </w:p>
    <w:p>
      <w:pPr>
        <w:keepNext w:val="false"/>
        <w:spacing w:after="75" w:before="60" w:line="31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89B3C"/>
          <w:sz w:val="18"/>
          <w:szCs w:val="18"/>
        </w:rPr>
        <w:t xml:space="preserve">03 · QUÉ PODÍA CAUSAR</w:t>
      </w:r>
    </w:p>
    <w:p>
      <w:pPr>
        <w:pStyle w:val="Heading1"/>
        <w:keepNext/>
        <w:spacing w:after="110" w:before="200"/>
      </w:pPr>
      <w:r>
        <w:rPr>
          <w:rFonts w:ascii="Times New Roman" w:cs="Times New Roman" w:eastAsia="Times New Roman" w:hAnsi="Times New Roman"/>
          <w:b/>
          <w:bCs/>
          <w:color w:val="10203D"/>
          <w:sz w:val="32"/>
          <w:szCs w:val="32"/>
        </w:rPr>
        <w:t xml:space="preserve">El riesgo no era teórico</w:t>
      </w:r>
    </w:p>
    <w:p>
      <w:pPr>
        <w:keepNext w:val="false"/>
        <w:spacing w:after="130" w:before="0" w:line="3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B1F24"/>
          <w:sz w:val="22"/>
          <w:szCs w:val="22"/>
        </w:rPr>
        <w:t xml:space="preserve">El fallo permitía afectar la información comercial y personal que usa el equipo para atender a un cliente. No daba acceso completo al CRM, pero sí abría una puerta pública hacia oportunidades concretas.</w:t>
      </w:r>
    </w:p>
    <w:p>
      <w:pPr>
        <w:pStyle w:val="Heading2"/>
        <w:keepNext/>
        <w:spacing w:after="110" w:before="130"/>
      </w:pPr>
      <w:r>
        <w:rPr>
          <w:rFonts w:ascii="Times New Roman" w:cs="Times New Roman" w:eastAsia="Times New Roman" w:hAnsi="Times New Roman"/>
          <w:b/>
          <w:bCs/>
          <w:color w:val="8C2F39"/>
          <w:sz w:val="26"/>
          <w:szCs w:val="26"/>
        </w:rPr>
        <w:t xml:space="preserve">Consecuencias</w:t>
      </w:r>
    </w:p>
    <w:p>
      <w:pPr>
        <w:pStyle w:val="ListParagraph"/>
        <w:numPr>
          <w:ilvl w:val="0"/>
          <w:numId w:val="3"/>
        </w:numPr>
        <w:spacing w:after="95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Exponer el nombre, correo, estado y referencia interna de una oportunidad existente.</w:t>
      </w:r>
    </w:p>
    <w:p>
      <w:pPr>
        <w:pStyle w:val="ListParagraph"/>
        <w:numPr>
          <w:ilvl w:val="0"/>
          <w:numId w:val="3"/>
        </w:numPr>
        <w:spacing w:after="95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Cambiar el tipo de inmueble, ciudad, barrio, precio esperado, mensaje o canal de contacto.</w:t>
      </w:r>
    </w:p>
    <w:p>
      <w:pPr>
        <w:pStyle w:val="ListParagraph"/>
        <w:numPr>
          <w:ilvl w:val="0"/>
          <w:numId w:val="3"/>
        </w:numPr>
        <w:spacing w:after="95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Confundir al asesor con información falsa y contaminar el historial comercial.</w:t>
      </w:r>
    </w:p>
    <w:p>
      <w:pPr>
        <w:pStyle w:val="ListParagraph"/>
        <w:numPr>
          <w:ilvl w:val="0"/>
          <w:numId w:val="3"/>
        </w:numPr>
        <w:spacing w:after="95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Hacer que una persona reciba una atención basada en datos que nunca proporcionó.</w:t>
      </w:r>
    </w:p>
    <w:p>
      <w:pPr>
        <w:pStyle w:val="ListParagraph"/>
        <w:numPr>
          <w:ilvl w:val="0"/>
          <w:numId w:val="3"/>
        </w:numPr>
        <w:spacing w:after="95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Debilitar la confianza en el tratamiento de datos personales realizado por ENLYCE.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"/>
        <w:gridCol w:w="9820"/>
      </w:tblGrid>
      <w:tr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C2F39" w:val="clea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2"/>
                <w:szCs w:val="22"/>
              </w:rPr>
              <w:t xml:space="preserve"/>
            </w:r>
          </w:p>
        </w:tc>
        <w:tc>
          <w:tcPr>
            <w:tcW w:type="dxa" w:w="9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2E8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/>
                <w:bCs/>
                <w:color w:val="10203D"/>
                <w:sz w:val="22"/>
                <w:szCs w:val="22"/>
              </w:rPr>
              <w:t xml:space="preserve">Gravedad. </w:t>
            </w:r>
            <w:r>
              <w:rPr>
                <w:rFonts w:ascii="Times New Roman" w:cs="Times New Roman" w:eastAsia="Times New Roman" w:hAnsi="Times New Roman"/>
                <w:color w:val="1B1F24"/>
                <w:sz w:val="22"/>
                <w:szCs w:val="22"/>
              </w:rPr>
              <w:t xml:space="preserve">se clasificó como crítica porque combinaba dos problemas: primero revelaba cómo encontrar la ficha y luego permitía modificarla.</w:t>
            </w:r>
          </w:p>
        </w:tc>
      </w:tr>
    </w:tbl>
    <w:p>
      <w:r>
        <w:br w:type="page"/>
      </w:r>
    </w:p>
    <w:p>
      <w:pPr>
        <w:keepNext w:val="false"/>
        <w:spacing w:after="75" w:before="60" w:line="31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89B3C"/>
          <w:sz w:val="18"/>
          <w:szCs w:val="18"/>
        </w:rPr>
        <w:t xml:space="preserve">04 · CÓMO LA SOLUCIONAMOS</w:t>
      </w:r>
    </w:p>
    <w:p>
      <w:pPr>
        <w:pStyle w:val="Heading1"/>
        <w:keepNext/>
        <w:spacing w:after="110" w:before="200"/>
      </w:pPr>
      <w:r>
        <w:rPr>
          <w:rFonts w:ascii="Times New Roman" w:cs="Times New Roman" w:eastAsia="Times New Roman" w:hAnsi="Times New Roman"/>
          <w:b/>
          <w:bCs/>
          <w:color w:val="10203D"/>
          <w:sz w:val="32"/>
          <w:szCs w:val="32"/>
        </w:rPr>
        <w:t xml:space="preserve">Quitamos la identidad de la respuesta y usamos un permiso temporal</w:t>
      </w:r>
    </w:p>
    <w:p>
      <w:pPr>
        <w:keepNext w:val="false"/>
        <w:spacing w:after="130" w:before="0" w:line="3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B1F24"/>
          <w:sz w:val="22"/>
          <w:szCs w:val="22"/>
        </w:rPr>
        <w:t xml:space="preserve">La solución no consistió en esconder el identificador visualmente. Se cambió la forma en que funciona el proceso.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40"/>
        <w:gridCol w:w="5040"/>
      </w:tblGrid>
      <w:tr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8C2F39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ANTES</w:t>
            </w:r>
          </w:p>
        </w:tc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267A5E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AHORA</w:t>
            </w:r>
          </w:p>
        </w:tc>
      </w:tr>
      <w:tr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FFFFFF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El sistema devolvía la ficha existente.</w:t>
            </w:r>
          </w:p>
        </w:tc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FFFFFF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La respuesta es neutra e igual para todos.</w:t>
            </w:r>
          </w:p>
        </w:tc>
      </w:tr>
      <w:tr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F5ECEE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Mostraba identificador, nombre, correo y estado.</w:t>
            </w:r>
          </w:p>
        </w:tc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EAF3EF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No entrega ningún dato de la oportunidad.</w:t>
            </w:r>
          </w:p>
        </w:tc>
      </w:tr>
      <w:tr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FFFFFF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Correo + identificador permitían cambiar la ficha.</w:t>
            </w:r>
          </w:p>
        </w:tc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FFFFFF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Se usa una clave aleatoria creada para esa solicitud.</w:t>
            </w:r>
          </w:p>
        </w:tc>
      </w:tr>
      <w:tr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F5ECEE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La autorización no vencía ni se consumía.</w:t>
            </w:r>
          </w:p>
        </w:tc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EAF3EF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La clave dura 20 minutos y funciona una sola vez.</w:t>
            </w:r>
          </w:p>
        </w:tc>
      </w:tr>
      <w:tr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FFFFFF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La dirección vulnerable seguía disponible.</w:t>
            </w:r>
          </w:p>
        </w:tc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FFFFFF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La dirección antigua fue eliminada.</w:t>
            </w:r>
          </w:p>
        </w:tc>
      </w:tr>
    </w:tbl>
    <w:p>
      <w:pPr>
        <w:pStyle w:val="Heading2"/>
        <w:keepNext/>
        <w:spacing w:after="110" w:before="130"/>
      </w:pPr>
      <w:r>
        <w:rPr>
          <w:rFonts w:ascii="Times New Roman" w:cs="Times New Roman" w:eastAsia="Times New Roman" w:hAnsi="Times New Roman"/>
          <w:b/>
          <w:bCs/>
          <w:color w:val="8C2F39"/>
          <w:sz w:val="26"/>
          <w:szCs w:val="26"/>
        </w:rPr>
        <w:t xml:space="preserve">Cómo funciona ahora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La persona envía sus datos básicos.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ENLYCE responde sin decir si el correo ya existía y sin mostrar información interna.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Si la solicitud es nueva, entrega una clave aleatoria para completar los datos opcionales.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La base de datos guarda solamente una huella de esa clave, no la clave original.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Al usarla, la clave queda consumida. Repetirla no cambia nada.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"/>
        <w:gridCol w:w="9820"/>
      </w:tblGrid>
      <w:tr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7A5E" w:val="clea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2"/>
                <w:szCs w:val="22"/>
              </w:rPr>
              <w:t xml:space="preserve"/>
            </w:r>
          </w:p>
        </w:tc>
        <w:tc>
          <w:tcPr>
            <w:tcW w:type="dxa" w:w="9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2E8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/>
                <w:bCs/>
                <w:color w:val="10203D"/>
                <w:sz w:val="22"/>
                <w:szCs w:val="22"/>
              </w:rPr>
              <w:t xml:space="preserve">Analogía. </w:t>
            </w:r>
            <w:r>
              <w:rPr>
                <w:rFonts w:ascii="Times New Roman" w:cs="Times New Roman" w:eastAsia="Times New Roman" w:hAnsi="Times New Roman"/>
                <w:color w:val="1B1F24"/>
                <w:sz w:val="22"/>
                <w:szCs w:val="22"/>
              </w:rPr>
              <w:t xml:space="preserve">la clave funciona como una tarjeta temporal de hotel: abre una sola puerta, durante poco tiempo y deja de servir después de usarse.</w:t>
            </w:r>
          </w:p>
        </w:tc>
      </w:tr>
    </w:tbl>
    <w:p>
      <w:r>
        <w:br w:type="page"/>
      </w:r>
    </w:p>
    <w:p>
      <w:pPr>
        <w:keepNext w:val="false"/>
        <w:spacing w:after="75" w:before="60" w:line="31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89B3C"/>
          <w:sz w:val="18"/>
          <w:szCs w:val="18"/>
        </w:rPr>
        <w:t xml:space="preserve">05 · CÓMO COMPROBAMOS LA CORRECCIÓN</w:t>
      </w:r>
    </w:p>
    <w:p>
      <w:pPr>
        <w:pStyle w:val="Heading1"/>
        <w:keepNext/>
        <w:spacing w:after="110" w:before="200"/>
      </w:pPr>
      <w:r>
        <w:rPr>
          <w:rFonts w:ascii="Times New Roman" w:cs="Times New Roman" w:eastAsia="Times New Roman" w:hAnsi="Times New Roman"/>
          <w:b/>
          <w:bCs/>
          <w:color w:val="10203D"/>
          <w:sz w:val="32"/>
          <w:szCs w:val="32"/>
        </w:rPr>
        <w:t xml:space="preserve">Intentamos el mismo ataque otra vez</w:t>
      </w:r>
    </w:p>
    <w:p>
      <w:pPr>
        <w:keepNext w:val="false"/>
        <w:spacing w:after="130" w:before="0" w:line="3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B1F24"/>
          <w:sz w:val="22"/>
          <w:szCs w:val="22"/>
        </w:rPr>
        <w:t xml:space="preserve">Después del cambio repetimos el recorrido original y añadimos controles para evitar que la falla regrese en una actualización futura.</w:t>
      </w:r>
    </w:p>
    <w:p>
      <w:pPr>
        <w:pStyle w:val="ListParagraph"/>
        <w:numPr>
          <w:ilvl w:val="0"/>
          <w:numId w:val="3"/>
        </w:numPr>
        <w:spacing w:after="95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Un correo repetido recibe una respuesta genérica: no aparecen datos ni referencias de la oportunidad anterior.</w:t>
      </w:r>
    </w:p>
    <w:p>
      <w:pPr>
        <w:pStyle w:val="ListParagraph"/>
        <w:numPr>
          <w:ilvl w:val="0"/>
          <w:numId w:val="3"/>
        </w:numPr>
        <w:spacing w:after="95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La dirección vulnerable con el identificador ya no existe.</w:t>
      </w:r>
    </w:p>
    <w:p>
      <w:pPr>
        <w:pStyle w:val="ListParagraph"/>
        <w:numPr>
          <w:ilvl w:val="0"/>
          <w:numId w:val="3"/>
        </w:numPr>
        <w:spacing w:after="95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Una clave inventada no modifica ninguna oportunidad.</w:t>
      </w:r>
    </w:p>
    <w:p>
      <w:pPr>
        <w:pStyle w:val="ListParagraph"/>
        <w:numPr>
          <w:ilvl w:val="0"/>
          <w:numId w:val="3"/>
        </w:numPr>
        <w:spacing w:after="95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Una clave válida completa la solicitud correcta.</w:t>
      </w:r>
    </w:p>
    <w:p>
      <w:pPr>
        <w:pStyle w:val="ListParagraph"/>
        <w:numPr>
          <w:ilvl w:val="0"/>
          <w:numId w:val="3"/>
        </w:numPr>
        <w:spacing w:after="95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La misma clave, usada por segunda vez, no vuelve a modificar la información.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00"/>
        <w:gridCol w:w="6580"/>
      </w:tblGrid>
      <w:tr>
        <w:tc>
          <w:tcPr>
            <w:tcW w:type="dxa" w:w="350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10203D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COMPROBACIÓN</w:t>
            </w:r>
          </w:p>
        </w:tc>
        <w:tc>
          <w:tcPr>
            <w:tcW w:type="dxa" w:w="658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10203D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350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Controles de endurecimiento</w:t>
            </w:r>
          </w:p>
        </w:tc>
        <w:tc>
          <w:tcPr>
            <w:tcW w:type="dxa" w:w="658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7A5E"/>
                <w:sz w:val="20"/>
                <w:szCs w:val="20"/>
              </w:rPr>
              <w:t xml:space="preserve">5 de 5 superados</w:t>
            </w:r>
          </w:p>
        </w:tc>
      </w:tr>
      <w:tr>
        <w:tc>
          <w:tcPr>
            <w:tcW w:type="dxa" w:w="350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E9EFF3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Suite completa de ENLYCE</w:t>
            </w:r>
          </w:p>
        </w:tc>
        <w:tc>
          <w:tcPr>
            <w:tcW w:type="dxa" w:w="658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E9EFF3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7A5E"/>
                <w:sz w:val="20"/>
                <w:szCs w:val="20"/>
              </w:rPr>
              <w:t xml:space="preserve">408 de 408 superadas</w:t>
            </w:r>
          </w:p>
        </w:tc>
      </w:tr>
      <w:tr>
        <w:tc>
          <w:tcPr>
            <w:tcW w:type="dxa" w:w="350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Verificación de la página web</w:t>
            </w:r>
          </w:p>
        </w:tc>
        <w:tc>
          <w:tcPr>
            <w:tcW w:type="dxa" w:w="658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7A5E"/>
                <w:sz w:val="20"/>
                <w:szCs w:val="20"/>
              </w:rPr>
              <w:t xml:space="preserve">Sin errores de tipos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"/>
        <w:gridCol w:w="9820"/>
      </w:tblGrid>
      <w:tr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7A5E" w:val="clea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2"/>
                <w:szCs w:val="22"/>
              </w:rPr>
              <w:t xml:space="preserve"/>
            </w:r>
          </w:p>
        </w:tc>
        <w:tc>
          <w:tcPr>
            <w:tcW w:type="dxa" w:w="9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2E8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/>
                <w:bCs/>
                <w:color w:val="10203D"/>
                <w:sz w:val="22"/>
                <w:szCs w:val="22"/>
              </w:rPr>
              <w:t xml:space="preserve">Resultado final. </w:t>
            </w:r>
            <w:r>
              <w:rPr>
                <w:rFonts w:ascii="Times New Roman" w:cs="Times New Roman" w:eastAsia="Times New Roman" w:hAnsi="Times New Roman"/>
                <w:color w:val="1B1F24"/>
                <w:sz w:val="22"/>
                <w:szCs w:val="22"/>
              </w:rPr>
              <w:t xml:space="preserve">el ataque documentado ya no permite descubrir ni modificar una oportunidad ajena. La prueba queda dentro del proyecto para vigilar que la protección no se pierda.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B6573"/>
        <w:sz w:val="17"/>
        <w:szCs w:val="17"/>
      </w:rPr>
      <w:t xml:space="preserve">Samuel Andres Escobar Saldarriaga  ·  </w:t>
    </w:r>
    <w:r>
      <w:rPr>
        <w:rFonts w:ascii="Times New Roman" w:cs="Times New Roman" w:eastAsia="Times New Roman" w:hAnsi="Times New Roman"/>
        <w:color w:val="5B6573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310"/>
      <w:jc w:val="right"/>
    </w:pPr>
    <w:r>
      <w:rPr>
        <w:rFonts w:ascii="Times New Roman" w:cs="Times New Roman" w:eastAsia="Times New Roman" w:hAnsi="Times New Roman"/>
        <w:b/>
        <w:bCs/>
        <w:color w:val="10203D"/>
        <w:sz w:val="18"/>
        <w:szCs w:val="18"/>
      </w:rPr>
      <w:t xml:space="preserve">ENLYCE</w:t>
    </w:r>
    <w:r>
      <w:rPr>
        <w:rFonts w:ascii="Times New Roman" w:cs="Times New Roman" w:eastAsia="Times New Roman" w:hAnsi="Times New Roman"/>
        <w:color w:val="C89B3C"/>
        <w:sz w:val="18"/>
        <w:szCs w:val="18"/>
      </w:rPr>
      <w:t xml:space="preserve">  ·  ACTIVIDAD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B1F24"/>
        <w:sz w:val="22"/>
        <w:szCs w:val="22"/>
      </w:rPr>
    </w:rPrDefault>
    <w:pPrDefault>
      <w:pPr>
        <w:spacing w:line="31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2026-09-27T16:06:17.969Z</dcterms:created>
  <dcterms:modified xsi:type="dcterms:W3CDTF">2026-09-27T16:06:17.973Z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