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ptos" w:cs="Aptos" w:eastAsia="Aptos" w:hAnsi="Aptos"/>
          <w:b/>
          <w:bCs/>
          <w:color w:val="175A8E"/>
          <w:spacing w:val="30"/>
          <w:sz w:val="24"/>
          <w:szCs w:val="24"/>
        </w:rPr>
        <w:t xml:space="preserve">INFORME DE SEGURIDAD</w:t>
      </w:r>
    </w:p>
    <w:p>
      <w:pPr>
        <w:spacing w:after="180"/>
      </w:pPr>
      <w:r>
        <w:rPr>
          <w:rFonts w:ascii="Aptos Display" w:cs="Aptos Display" w:eastAsia="Aptos Display" w:hAnsi="Aptos Display"/>
          <w:b/>
          <w:bCs/>
          <w:color w:val="172B4D"/>
          <w:sz w:val="42"/>
          <w:szCs w:val="42"/>
        </w:rPr>
        <w:t xml:space="preserve">Prueba API con OWASP ZAP</w:t>
      </w:r>
    </w:p>
    <w:p>
      <w:pPr>
        <w:spacing w:after="360"/>
      </w:pPr>
      <w:r>
        <w:rPr>
          <w:rFonts w:ascii="Aptos" w:cs="Aptos" w:eastAsia="Aptos" w:hAnsi="Aptos"/>
          <w:color w:val="52606D"/>
          <w:sz w:val="23"/>
          <w:szCs w:val="23"/>
        </w:rPr>
        <w:t xml:space="preserve">ENLYCE · ejecución local aislada · 12 de octubre de 2026</w:t>
      </w:r>
    </w:p>
    <w:tbl>
      <w:tblPr>
        <w:tblW w:type="dxa" w:w="9700"/>
        <w:tblBorders>
          <w:top w:val="single" w:color="D5DEE7" w:sz="5"/>
          <w:left w:val="single" w:color="D5DEE7" w:sz="5"/>
          <w:bottom w:val="single" w:color="D5DEE7" w:sz="5"/>
          <w:right w:val="single" w:color="D5DEE7" w:sz="5"/>
          <w:insideH w:val="single" w:color="D5DEE7" w:sz="5"/>
          <w:insideV w:val="single" w:color="D5DEE7" w:sz="5"/>
        </w:tblBorders>
      </w:tblPr>
      <w:tblGrid>
        <w:gridCol w:w="2650"/>
        <w:gridCol w:w="7050"/>
      </w:tblGrid>
      <w:tr>
        <w:trPr>
          <w:tblHeader/>
        </w:trPr>
        <w:tc>
          <w:tcPr>
            <w:tcW w:type="dxa" w:w="265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  <w:tc>
          <w:tcPr>
            <w:tcW w:type="dxa" w:w="705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BOLA histórica</w:t>
            </w:r>
          </w:p>
        </w:tc>
        <w:tc>
          <w:tcPr>
            <w:tcW w:type="dxa" w:w="7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Corregida; la regresión local la bloquea.</w:t>
            </w:r>
          </w:p>
        </w:tc>
      </w:tr>
      <w:tr>
        <w:tc>
          <w:tcPr>
            <w:tcW w:type="dxa" w:w="26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ZAP API activo</w:t>
            </w:r>
          </w:p>
        </w:tc>
        <w:tc>
          <w:tcPr>
            <w:tcW w:type="dxa" w:w="70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0 altas · 0 medias · 2 tipos de alerta baja · 7 informativas.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Riesgo nuevo de dependencia</w:t>
            </w:r>
          </w:p>
        </w:tc>
        <w:tc>
          <w:tcPr>
            <w:tcW w:type="dxa" w:w="70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Pendiente: advisories de ImageSharp 3.1.12, incluidas altas.</w:t>
            </w:r>
          </w:p>
        </w:tc>
      </w:tr>
      <w:tr>
        <w:tc>
          <w:tcPr>
            <w:tcW w:type="dxa" w:w="26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Alcance</w:t>
            </w:r>
          </w:p>
        </w:tc>
        <w:tc>
          <w:tcPr>
            <w:tcW w:type="dxa" w:w="70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Solo API en localhost y PostgreSQL desechable; no staging ni producción.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Resultado: la ruta histórica permitía enumerar una oportunidad y cambiar datos del propietario con correo e identificador. El código actual usa una continuación aleatoria, temporal y de un solo uso; el harness repitió el intento anónimo y obtuvo 404 sin revelar el ID. ZAP no confirmó vulnerabilidades altas o medias en el escaneo API de hoy. La evidencia de compilación sí reveló advisories de ImageSharp sin resolver; este informe no declara el producto libre de riesgos.</w:t>
      </w:r>
    </w:p>
    <w:p>
      <w:pPr>
        <w:spacing w:after="120" w:line="276"/>
        <w:rPr>
          <w:i/>
          <w:iCs/>
          <w:color w:val="52606D"/>
          <w:sz w:val="18"/>
          <w:szCs w:val="18"/>
        </w:rPr>
      </w:pPr>
      <w:r>
        <w:rPr>
          <w:rFonts w:ascii="Aptos" w:cs="Aptos" w:eastAsia="Aptos" w:hAnsi="Aptos"/>
          <w:i/>
          <w:iCs/>
          <w:color w:val="52606D"/>
          <w:sz w:val="18"/>
          <w:szCs w:val="18"/>
        </w:rPr>
        <w:t xml:space="preserve">Clasificación de este documento: evidencia técnica interna. No contiene credenciales, tokens ni datos reales.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1. Resumen ejecutivo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Se ejecutó OWASP ZAP API Scan 2.17.0 contra la especificación OpenAPI de la API local. La definición importó 99 rutas; el escaneo procesó 256 URL. El reporte HTML registró 0 alertas altas, 0 medias, 2 tipos de alertas bajas y 7 informativas. No hubo alertas de SQL injection, XSS, traversal, XXE, ejecución de comandos ni inclusión remota.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ZAP no es suficiente para validar permisos por objeto. Por eso se ejecutó también el harness ofensivo local del repositorio: la reproducción BOLA no reveló ID y la sobrescritura sin autenticación terminó en 404. El escaneo no usó datos reales, no se conectó a staging ni tocó producción.</w:t>
      </w:r>
    </w:p>
    <w:tbl>
      <w:tblPr>
        <w:tblW w:type="dxa" w:w="9700"/>
        <w:tblBorders>
          <w:top w:val="single" w:color="D5DEE7" w:sz="5"/>
          <w:left w:val="single" w:color="D5DEE7" w:sz="5"/>
          <w:bottom w:val="single" w:color="D5DEE7" w:sz="5"/>
          <w:right w:val="single" w:color="D5DEE7" w:sz="5"/>
          <w:insideH w:val="single" w:color="D5DEE7" w:sz="5"/>
          <w:insideV w:val="single" w:color="D5DEE7" w:sz="5"/>
        </w:tblBorders>
      </w:tblPr>
      <w:tblGrid>
        <w:gridCol w:w="2500"/>
        <w:gridCol w:w="5250"/>
        <w:gridCol w:w="1950"/>
      </w:tblGrid>
      <w:tr>
        <w:trPr>
          <w:tblHeader/>
        </w:trPr>
        <w:tc>
          <w:tcPr>
            <w:tcW w:type="dxa" w:w="250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525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Resultado verificado</w:t>
            </w:r>
          </w:p>
        </w:tc>
        <w:tc>
          <w:tcPr>
            <w:tcW w:type="dxa" w:w="195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Enumeración / modificación BOLA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recontacto 202; ID igual no divulgado; PUT anónimo 404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Corregido y verificado localmente</w:t>
            </w:r>
          </w:p>
        </w:tc>
      </w:tr>
      <w:tr>
        <w:tc>
          <w:tcPr>
            <w:tcW w:type="dxa" w:w="25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Autorización horizontal</w:t>
            </w:r>
          </w:p>
        </w:tc>
        <w:tc>
          <w:tcPr>
            <w:tcW w:type="dxa" w:w="52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asesor ajeno: lectura y cambio 403</w:t>
            </w:r>
          </w:p>
        </w:tc>
        <w:tc>
          <w:tcPr>
            <w:tcW w:type="dxa" w:w="19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Verificado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JWT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alterado y sin firma 401; válido 200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Verificado</w:t>
            </w:r>
          </w:p>
        </w:tc>
      </w:tr>
      <w:tr>
        <w:tc>
          <w:tcPr>
            <w:tcW w:type="dxa" w:w="25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Abuso</w:t>
            </w:r>
          </w:p>
        </w:tc>
        <w:tc>
          <w:tcPr>
            <w:tcW w:type="dxa" w:w="52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53/60 logins limitados; payload de 1 MB: 413</w:t>
            </w:r>
          </w:p>
        </w:tc>
        <w:tc>
          <w:tcPr>
            <w:tcW w:type="dxa" w:w="19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Verificado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52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ImageSharp 3.1.12 con advisories moderadas y altas</w:t>
            </w:r>
          </w:p>
        </w:tc>
        <w:tc>
          <w:tcPr>
            <w:tcW w:type="dxa" w:w="19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Pendiente de triage y actualización</w:t>
            </w:r>
          </w:p>
        </w:tc>
      </w:tr>
    </w:tbl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2. Alcance y método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Activo: ASP.NET Core API en http://127.0.0.1:5029, con OpenAPI en /swagger/v1/swagger.json.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Base de datos: PostgreSQL 17 temporal, nombre enlyce_zap_audit, publicada solo en 127.0.0.1:55437, sin volumen persistente.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ZAP: imagen ghcr.io/zaproxy/zaproxy:stable; escaneo activo OpenAPI con -a. ZAP importó el contrato y lanzó las reglas API sobre las rutas descritas.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Verificación manual automatizada: tools/security/strong-audit.mjs, con datos sintéticos para autenticación, RBAC, recontacto, carga grande, CORS, method override y concurrencia.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Límite: no se ejecutó escaneo web autenticado con navegador, no se probó staging y la cobertura depende de lo que expone Swagger. ZAP no demuestra ausencia total de fallos.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El primer intento produjo 116 respuestas 503 del webhook Wompi porque la base temporal no tenía EventsSecret. Se inyectó un secreto ficticio solo en el proceso local y se repitió el escaneo. El reporte final ya no muestra respuestas 5xx; el secreto ficticio no es válido para Wompi y no se guardó en archivos.</w:t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3. Amenaza: BOLA en la captación pública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Clase: Broken Object Level Authorization (BOLA/IDOR), alineada con OWASP API Security Top 10 API1:2023. Severidad histórica: crítica para el negocio por combinar exposición de datos personales y modificación de una oportunidad sin acreditar identidad. Estado actual: corregida y verificada contra entorno local desechable.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Cómo se descubrió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La revisión de seguridad previa siguió el flujo de recontacto público: comparó la respuesta al enviar un correo nuevo con la de uno ya registrado, y rastreó el identificador hasta la ruta pública de actualización de datos del propietario. La auditoría local del 26–27 de septiembre documenta el hallazgo y el flujo anterior. El harness actual ejecuta la misma clase de abuso con registros sintéticos; ZAP no fue quien descubrió BOLA.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Cómo entraba el atacante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0"/>
          <w:szCs w:val="20"/>
        </w:rPr>
        <w:t xml:space="preserve">Enviar la captación pública con el correo de una persona ya registrada.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0"/>
          <w:szCs w:val="20"/>
        </w:rPr>
        <w:t xml:space="preserve">La respuesta anterior confirmaba el registro y filtraba el ID y metadatos de la oportunidad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0"/>
          <w:szCs w:val="20"/>
        </w:rPr>
        <w:t xml:space="preserve">Con el ID obtenido y el mismo correo como prueba débil, llamar a PUT /api/leads/{id}/owner-details.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0"/>
          <w:szCs w:val="20"/>
        </w:rPr>
        <w:t xml:space="preserve">El servidor aceptaba sobrescribir detalles del propietario. El atacante podía enumerar contactos, leer datos comerciales y contaminar o alterar el CRM.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Los pasos describen el defecto histórico documentado. No se ejecutaron contra un servidor público ni contra datos reales.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Solución aplicada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La respuesta pública no confirma si el correo ya existía y no expone ID, nombre, correo ni estado.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Para completar una captación se emite un token aleatorio; la base conserva su hash, vence a los 20 minutos y se consume una sola vez.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El endpoint actual es PUT /api/leads/owner-details y recibe el token, no un ID de oportunidad. Token inexistente, expirado o repetido produce la misma respuesta neutral.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A contactos repetidos se les devuelve un token señuelo para que el formato de respuesta no sirva como oráculo de enumeración.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La corrección corta la cadena en la fuente: conocer un correo deja de revelar el identificador y el identificador ya no autoriza la escritura.</w:t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4. Regresión reproducida hoy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El harness usó la base temporal y credenciales sintéticas. Resultados registrados el 12 de octubre de 2026:</w:t>
      </w:r>
    </w:p>
    <w:tbl>
      <w:tblPr>
        <w:tblW w:type="dxa" w:w="9700"/>
        <w:tblBorders>
          <w:top w:val="single" w:color="D5DEE7" w:sz="5"/>
          <w:left w:val="single" w:color="D5DEE7" w:sz="5"/>
          <w:bottom w:val="single" w:color="D5DEE7" w:sz="5"/>
          <w:right w:val="single" w:color="D5DEE7" w:sz="5"/>
          <w:insideH w:val="single" w:color="D5DEE7" w:sz="5"/>
          <w:insideV w:val="single" w:color="D5DEE7" w:sz="5"/>
        </w:tblBorders>
      </w:tblPr>
      <w:tblGrid>
        <w:gridCol w:w="2450"/>
        <w:gridCol w:w="4700"/>
        <w:gridCol w:w="2550"/>
      </w:tblGrid>
      <w:tr>
        <w:trPr>
          <w:tblHeader/>
        </w:trPr>
        <w:tc>
          <w:tcPr>
            <w:tcW w:type="dxa" w:w="245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470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255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Recontacto público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misma oportunidad enviada otra vez; campos comparados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202; no ID; solo continuationToken y message</w:t>
            </w:r>
          </w:p>
        </w:tc>
      </w:tr>
      <w:tr>
        <w:tc>
          <w:tcPr>
            <w:tcW w:type="dxa" w:w="24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Sobrescritura</w:t>
            </w:r>
          </w:p>
        </w:tc>
        <w:tc>
          <w:tcPr>
            <w:tcW w:type="dxa" w:w="47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PUT anónimo con el identificador histórico</w:t>
            </w:r>
          </w:p>
        </w:tc>
        <w:tc>
          <w:tcPr>
            <w:tcW w:type="dxa" w:w="25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404; sin modificación</w:t>
            </w:r>
          </w:p>
        </w:tc>
      </w:tr>
      <w:tr>
        <w:tc>
          <w:tcPr>
            <w:tcW w:type="dxa" w:w="2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Acceso horizontal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asesor A intenta leer/mover oportunidad de B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403 en ambos casos</w:t>
            </w:r>
          </w:p>
        </w:tc>
      </w:tr>
      <w:tr>
        <w:tc>
          <w:tcPr>
            <w:tcW w:type="dxa" w:w="24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JWT</w:t>
            </w:r>
          </w:p>
        </w:tc>
        <w:tc>
          <w:tcPr>
            <w:tcW w:type="dxa" w:w="47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token alterado y alg:none</w:t>
            </w:r>
          </w:p>
        </w:tc>
        <w:tc>
          <w:tcPr>
            <w:tcW w:type="dxa" w:w="25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401 / 401</w:t>
            </w:r>
          </w:p>
        </w:tc>
      </w:tr>
      <w:tr>
        <w:tc>
          <w:tcPr>
            <w:tcW w:type="dxa" w:w="2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Fuerza bruta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60 logins inválidos concurrentes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53 respuestas 429; 7 respuestas 401</w:t>
            </w:r>
          </w:p>
        </w:tc>
      </w:tr>
      <w:tr>
        <w:tc>
          <w:tcPr>
            <w:tcW w:type="dxa" w:w="24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Carrera</w:t>
            </w:r>
          </w:p>
        </w:tc>
        <w:tc>
          <w:tcPr>
            <w:tcW w:type="dxa" w:w="47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30 captaciones simultáneas con la misma clave</w:t>
            </w:r>
          </w:p>
        </w:tc>
        <w:tc>
          <w:tcPr>
            <w:tcW w:type="dxa" w:w="25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30 respuestas 202; 1 registro persistido</w:t>
            </w:r>
          </w:p>
        </w:tc>
      </w:tr>
      <w:tr>
        <w:tc>
          <w:tcPr>
            <w:tcW w:type="dxa" w:w="24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Cuerpo grande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captación con cuerpo de 1 MB</w:t>
            </w:r>
          </w:p>
        </w:tc>
        <w:tc>
          <w:tcPr>
            <w:tcW w:type="dxa" w:w="25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413</w:t>
            </w:r>
          </w:p>
        </w:tc>
      </w:tr>
      <w:tr>
        <w:tc>
          <w:tcPr>
            <w:tcW w:type="dxa" w:w="24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CORS / override</w:t>
            </w:r>
          </w:p>
        </w:tc>
        <w:tc>
          <w:tcPr>
            <w:tcW w:type="dxa" w:w="47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origen hostil y method override</w:t>
            </w:r>
          </w:p>
        </w:tc>
        <w:tc>
          <w:tcPr>
            <w:tcW w:type="dxa" w:w="255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origen rechazado; 405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La respuesta 202 de la continuación no confirma si el token existía; esa neutralidad es intencional. El harness reporta 404 para la ruta antigua de sobrescritura, que ya no existe.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5. Resultado del escaneo ZAP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La captura es una imagen de la página del reporte HTML generado por ZAP en esta ejecución. El detalle completo permanece en security-reports/zap-api-active-20261012-final.html, .json y .md, carpeta ignorada por Git.</w:t>
      </w:r>
    </w:p>
    <w:p>
      <w:pPr>
        <w:spacing w:after="0" w:before="80"/>
        <w:jc w:val="center"/>
      </w:pPr>
      <w:r>
        <w:drawing>
          <wp:inline distT="0" distB="0" distL="0" distR="0">
            <wp:extent cx="6048375" cy="680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ptos" w:cs="Aptos" w:eastAsia="Aptos" w:hAnsi="Aptos"/>
          <w:i/>
          <w:iCs/>
          <w:color w:val="52606D"/>
          <w:sz w:val="18"/>
          <w:szCs w:val="18"/>
        </w:rPr>
        <w:t xml:space="preserve">Figura 1. Captura del reporte ZAP API Scan, 12 oct 2026. 0 altas, 0 medias, 2 bajas.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Alertas bajas</w:t>
      </w:r>
    </w:p>
    <w:tbl>
      <w:tblPr>
        <w:tblW w:type="dxa" w:w="9700"/>
        <w:tblBorders>
          <w:top w:val="single" w:color="D5DEE7" w:sz="5"/>
          <w:left w:val="single" w:color="D5DEE7" w:sz="5"/>
          <w:bottom w:val="single" w:color="D5DEE7" w:sz="5"/>
          <w:right w:val="single" w:color="D5DEE7" w:sz="5"/>
          <w:insideH w:val="single" w:color="D5DEE7" w:sz="5"/>
          <w:insideV w:val="single" w:color="D5DEE7" w:sz="5"/>
        </w:tblBorders>
      </w:tblPr>
      <w:tblGrid>
        <w:gridCol w:w="2900"/>
        <w:gridCol w:w="1000"/>
        <w:gridCol w:w="5800"/>
      </w:tblGrid>
      <w:tr>
        <w:trPr>
          <w:tblHeader/>
        </w:trPr>
        <w:tc>
          <w:tcPr>
            <w:tcW w:type="dxa" w:w="290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  <w:tc>
          <w:tcPr>
            <w:tcW w:type="dxa" w:w="100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Instancias</w:t>
            </w:r>
          </w:p>
        </w:tc>
        <w:tc>
          <w:tcPr>
            <w:tcW w:type="dxa" w:w="5800"/>
            <w:shd w:fill="175A8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Evaluación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Cross-Origin-Resource-Policy ausente o inválida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Endurecimiento pendiente. Añadir same-origin si el contrato de recursos no requiere compartirlos entre orígenes.</w:t>
            </w:r>
          </w:p>
        </w:tc>
      </w:tr>
      <w:tr>
        <w:tc>
          <w:tcPr>
            <w:tcW w:type="dxa" w:w="29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Content-Type inesperado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shd w:fill="F5F8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2B4D"/>
                <w:sz w:val="19"/>
                <w:szCs w:val="19"/>
              </w:rPr>
              <w:t xml:space="preserve">Swagger UI devuelve HTML en rutas de documentación; esperado y no representa una respuesta JSON de negocio.</w:t>
            </w:r>
          </w:p>
        </w:tc>
      </w:tr>
    </w:tbl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Reglas relevantes superadas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120 reglas terminaron PASS. ZAP no confirmó inyección SQL, XSS reflejado o persistente, traversal, XXE, ejecución de comandos, inclusión remota ni SSRF/metadata cloud. Estos resultados cubren únicamente las peticiones y superficies recorridas en esta ejecución.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El comando de ZAP devolvió código de salida 1 aunque el resumen de consola indicó FAIL-NEW=0, FAIL-INPROG=0 y WARN-NEW=2. Por ello el resultado se registra como escaneo completado con advertencias, no como pipeline verde.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6. Evidencia del harness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La siguiente captura es una vista del extracto del JSON del harness. El archivo completo local es security-reports/strong-audit-20261012.json; el extracto omitió el correo del administrador sintético y cualquier dato que no aporte al hallazgo.</w:t>
      </w:r>
    </w:p>
    <w:p>
      <w:pPr>
        <w:spacing w:after="0" w:before="80"/>
        <w:jc w:val="center"/>
      </w:pPr>
      <w:r>
        <w:drawing>
          <wp:inline distT="0" distB="0" distL="0" distR="0">
            <wp:extent cx="5953125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ptos" w:cs="Aptos" w:eastAsia="Aptos" w:hAnsi="Aptos"/>
          <w:i/>
          <w:iCs/>
          <w:color w:val="52606D"/>
          <w:sz w:val="18"/>
          <w:szCs w:val="18"/>
        </w:rPr>
        <w:t xml:space="preserve">Figura 2. Resultado del harness local: BOLA bloqueada y controles de sesión/autorización verificados.</w:t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7. Riesgos pendientes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Alta: advisories de SixLabors.ImageSharp 3.1.12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Al compilar para levantar la API, NuGet emitió NU1903/NU1902 para SixLabors.ImageSharp 3.1.12. La salida incluye tres advisories altas y dos moderadas. Las altas describen escritura fuera de límites en rutas de procesamiento TIFF/HistogramEqualization; las moderadas incluyen asignaciones excesivas desde perfiles ICC y bucle prolongado al leer BigTIFF. GitHub Advisory Database marca 4.1.2 como versión corregida para estos avisos.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Estado: pendiente de triage y actualización. El escaneo ZAP no examina la cadena de dependencias ni prueba estas rutas. La aplicabilidad real depende de los formatos aceptados y de los métodos invocados por ENLYCE; no se ejecutó una PoC contra el producto. Como el componente procesa imágenes y existen cargas públicas, la actualización y pruebas de regresión deben priorizarse antes de producción.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Baja: Cross-Origin-Resource-Policy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El encabezado no aparece en cuatro respuestas. No se demostró explotación; queda como defensa en profundidad pendiente. Revisar middleware global y documentar si alguna ruta necesita ser consumida desde otros orígenes.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Alcance remoto</w:t>
      </w:r>
    </w:p>
    <w:p>
      <w:pPr>
        <w:spacing w:after="120" w:line="276"/>
      </w:pPr>
      <w:r>
        <w:rPr>
          <w:rFonts w:ascii="Aptos" w:cs="Aptos" w:eastAsia="Aptos" w:hAnsi="Aptos"/>
          <w:color w:val="172B4D"/>
          <w:sz w:val="21"/>
          <w:szCs w:val="21"/>
        </w:rPr>
        <w:t xml:space="preserve">ENLYCE no tiene staging remoto identificado en el runbook vigente. Este documento no sustituye ZAP en staging, configuración TLS real, verificación del proxy ni una revisión web autenticada.</w:t>
      </w:r>
    </w:p>
    <w:p>
      <w:pPr>
        <w:pStyle w:val="Heading1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8. Evidencias y fuentes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Evidencia local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docs/seguridad/auditoria-local-2026-09-26.md: hallazgo histórico, corrección y verificación anterior.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tools/security/strong-audit.mjs: reproducción ofensiva automatizada; resultado completo en security-reports/strong-audit-20261012.json.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security-reports/zap-api-active-20261012-final.html, .json y .md: reporte ZAP generado en esta ejecución; carpeta local ignorada por Git.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src/Enlyce.Api/Endpoints/Leads/LeadsModule.cs: captación y PUT /owner-details actual.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src/Enlyce.Application/UseCases/CreateLead/CreateLeadHandler.cs y src/Enlyce.Application/Security/OwnerInquiryContinuationToken.cs: token, hash, caducidad y token señuelo.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src/Enlyce.Infrastructure/Persistence/Repositories/LeadRepository.cs: consumo condicionado a hash, expiración y uso previo.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72B4D"/>
          <w:sz w:val="20"/>
          <w:szCs w:val="20"/>
        </w:rPr>
        <w:t xml:space="preserve">src/Enlyce.Infrastructure/Enlyce.Infrastructure.csproj: referencia ImageSharp 3.1.12 verificada por restore/build.</w:t>
      </w:r>
    </w:p>
    <w:p>
      <w:pPr>
        <w:pStyle w:val="Heading2"/>
        <w:spacing w:after="130" w:before="260"/>
      </w:pPr>
      <w:r>
        <w:rPr>
          <w:rFonts w:ascii="Aptos Display" w:cs="Aptos Display" w:eastAsia="Aptos Display" w:hAnsi="Aptos Display"/>
          <w:b/>
          <w:bCs/>
          <w:color w:val="175A8E"/>
        </w:rPr>
        <w:t xml:space="preserve">Fuentes técnicas externas</w:t>
      </w:r>
    </w:p>
    <w:p>
      <w:pPr>
        <w:spacing w:after="110"/>
      </w:pPr>
      <w:hyperlink w:history="1" r:id="rIdsdeixociqmgctbess-3xv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OWASP API Security Top 10: API1 Broken Object Level Authorization</w:t>
        </w:r>
      </w:hyperlink>
    </w:p>
    <w:p>
      <w:pPr>
        <w:spacing w:after="110"/>
      </w:pPr>
      <w:hyperlink w:history="1" r:id="rIdxz90s8mnzofivrh5-vdsc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OWASP Web Security Testing Guide: API BOLA testing</w:t>
        </w:r>
      </w:hyperlink>
    </w:p>
    <w:p>
      <w:pPr>
        <w:spacing w:after="110"/>
      </w:pPr>
      <w:hyperlink w:history="1" r:id="rIdlzcqvehzfmy7pufql3e-v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OWASP ZAP API Scan: alcance, ejecución y códigos de salida</w:t>
        </w:r>
      </w:hyperlink>
    </w:p>
    <w:p>
      <w:pPr>
        <w:spacing w:after="110"/>
      </w:pPr>
      <w:hyperlink w:history="1" r:id="rIda4r0tg6wcaazme-_5ojka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 Advisory: ImageSharp ICC CLUT allocation (GHSA-gwg2-r3hj-4w44)</w:t>
        </w:r>
      </w:hyperlink>
    </w:p>
    <w:p>
      <w:pPr>
        <w:spacing w:after="110"/>
      </w:pPr>
      <w:hyperlink w:history="1" r:id="rIdrljbr_v_afyp11iwpluvd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 Advisory: ImageSharp HistogramEqualization (GHSA-j3p4-wp97-rph4)</w:t>
        </w:r>
      </w:hyperlink>
    </w:p>
    <w:p>
      <w:pPr>
        <w:spacing w:after="110"/>
      </w:pPr>
      <w:hyperlink w:history="1" r:id="rIdhegwutyvxsgzrgm--zwlj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 Advisory: ImageSharp TIFF CCITT T4 (GHSA-j9gm-c75j-xc9q)</w:t>
        </w:r>
      </w:hyperlink>
    </w:p>
    <w:p>
      <w:pPr>
        <w:spacing w:after="110"/>
      </w:pPr>
      <w:hyperlink w:history="1" r:id="rIdlfzbjwr_ieoebxyao1vsh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 Advisory: ImageSharp TIFF CCITT T6 (GHSA-jjfr-hcj7-qf5w)</w:t>
        </w:r>
      </w:hyperlink>
    </w:p>
    <w:p>
      <w:pPr>
        <w:spacing w:after="110"/>
      </w:pPr>
      <w:hyperlink w:history="1" r:id="rIdyr1nuz0xxc8ay3dn4fg9r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 Advisory: ImageSharp BigTIFF loop (GHSA-wmxv-xphr-5c9g)</w:t>
        </w:r>
      </w:hyperlink>
    </w:p>
    <w:p>
      <w:pPr>
        <w:spacing w:after="120" w:line="276"/>
        <w:rPr>
          <w:i/>
          <w:iCs/>
          <w:color w:val="52606D"/>
          <w:sz w:val="18"/>
          <w:szCs w:val="18"/>
        </w:rPr>
      </w:pPr>
      <w:r>
        <w:rPr>
          <w:rFonts w:ascii="Aptos" w:cs="Aptos" w:eastAsia="Aptos" w:hAnsi="Aptos"/>
          <w:i/>
          <w:iCs/>
          <w:color w:val="52606D"/>
          <w:sz w:val="18"/>
          <w:szCs w:val="18"/>
        </w:rPr>
        <w:t xml:space="preserve">Fuentes consultadas el 12 de octubre de 2026. La versión corregida de ImageSharp y el alcance de cada advisory deben confirmarse durante el cambio de dependencia.</w:t>
      </w:r>
    </w:p>
    <w:sectPr>
      <w:headerReference w:type="default" r:id="rId7"/>
      <w:footerReference w:type="default" r:id="rId8"/>
      <w:pgSz w:w="11906" w:h="16838" w:orient="portrait"/>
      <w:pgMar w:top="1050" w:right="1100" w:bottom="1050" w:left="11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5A8E" w:sz="6" w:space="4"/>
      </w:pBdr>
      <w:spacing w:before="80"/>
      <w:jc w:val="right"/>
    </w:pPr>
    <w:r>
      <w:rPr>
        <w:rFonts w:ascii="Aptos" w:cs="Aptos" w:eastAsia="Aptos" w:hAnsi="Aptos"/>
        <w:color w:val="52606D"/>
        <w:sz w:val="16"/>
        <w:szCs w:val="16"/>
      </w:rPr>
      <w:t xml:space="preserve">Informe local · 12 oct 2026 · Página </w:t>
    </w:r>
    <w:r>
      <w:rPr>
        <w:rFonts w:ascii="Aptos" w:cs="Aptos" w:eastAsia="Aptos" w:hAnsi="Aptos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5A8E" w:sz="6" w:space="4"/>
      </w:pBdr>
      <w:spacing w:after="100"/>
    </w:pPr>
    <w:r>
      <w:rPr>
        <w:rFonts w:ascii="Aptos" w:cs="Aptos" w:eastAsia="Aptos" w:hAnsi="Aptos"/>
        <w:b/>
        <w:bCs/>
        <w:color w:val="175A8E"/>
        <w:sz w:val="16"/>
        <w:szCs w:val="16"/>
      </w:rPr>
      <w:t xml:space="preserve">ENLYCE  /  SEGURIDAD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B4D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75A8E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Aptos Display" w:cs="Aptos Display" w:eastAsia="Aptos Display" w:hAnsi="Aptos Display"/>
      <w:b/>
      <w:bCs/>
      <w:color w:val="172B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deixociqmgctbess-3xv" Type="http://schemas.openxmlformats.org/officeDocument/2006/relationships/hyperlink" Target="https://owasp.org/API-Security/editions/2023/en/0xa1-broken-object-level-authorization/" TargetMode="External"/><Relationship Id="rIdxz90s8mnzofivrh5-vdsc" Type="http://schemas.openxmlformats.org/officeDocument/2006/relationships/hyperlink" Target="https://owasp.org/www-project-web-security-testing-guide/latest/4-Web_Application_Security_Testing/12-API_Testing/02-API_Broken_Object_Level_Authorization/" TargetMode="External"/><Relationship Id="rIdlzcqvehzfmy7pufql3e-v" Type="http://schemas.openxmlformats.org/officeDocument/2006/relationships/hyperlink" Target="https://www.zaproxy.org/docs/docker/api-scan/" TargetMode="External"/><Relationship Id="rIda4r0tg6wcaazme-_5ojka" Type="http://schemas.openxmlformats.org/officeDocument/2006/relationships/hyperlink" Target="https://github.com/advisories/GHSA-gwg2-r3hj-4w44" TargetMode="External"/><Relationship Id="rIdrljbr_v_afyp11iwpluvd" Type="http://schemas.openxmlformats.org/officeDocument/2006/relationships/hyperlink" Target="https://github.com/advisories/GHSA-j3p4-wp97-rph4" TargetMode="External"/><Relationship Id="rIdhegwutyvxsgzrgm--zwlj" Type="http://schemas.openxmlformats.org/officeDocument/2006/relationships/hyperlink" Target="https://github.com/advisories/GHSA-j9gm-c75j-xc9q" TargetMode="External"/><Relationship Id="rIdlfzbjwr_ieoebxyao1vsh" Type="http://schemas.openxmlformats.org/officeDocument/2006/relationships/hyperlink" Target="https://github.com/advisories/GHSA-jjfr-hcj7-qf5w" TargetMode="External"/><Relationship Id="rIdyr1nuz0xxc8ay3dn4fg9r" Type="http://schemas.openxmlformats.org/officeDocument/2006/relationships/hyperlink" Target="https://github.com/advisories/GHSA-wmxv-xphr-5c9g" TargetMode="External"/><Relationship Id="rId9" Type="http://schemas.openxmlformats.org/officeDocument/2006/relationships/image" Target="media/6b3e4f6ee7f2d31ae78c2595b07605350e33a343.png"/><Relationship Id="rId10" Type="http://schemas.openxmlformats.org/officeDocument/2006/relationships/image" Target="media/5625f0e3d77195ce6662086e0a58dfed58dc879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2026-10-12T18:13:39.831Z</dcterms:created>
  <dcterms:modified xsi:type="dcterms:W3CDTF">2026-10-12T18:13:39.832Z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