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8"/>
        <w:gridCol w:w="1728"/>
        <w:gridCol w:w="1728"/>
        <w:gridCol w:w="1728"/>
        <w:gridCol w:w="1728"/>
        <w:gridCol w:w="1728"/>
      </w:tblGrid>
      <w:tr>
        <w:trPr>
          <w:cantSplit/>
          <w:trHeight w:val="617" w:hRule="auto"/>
          <w:tblHeader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Table (14): Difference in patients' left ventricular ejection fraction across GLS groups</w:t>
            </w:r>
          </w:p>
        </w:tc>
      </w:tr>
      <w:tr>
        <w:trPr>
          <w:cantSplit/>
          <w:trHeight w:val="61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-10 &amp; less than -16, N = 17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higher than -16,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GLS less than -10, N = 12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LVEF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48.78 ± 11.30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48.83 ± 7.42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57.94 ± 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37.26 ± 10.35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50.60 (16.25)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50.30 (7.06)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57.00 (12.20)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35.23 (17.63)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c("Mean ± SD", "Median (IQR)")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2021-09-14T18:10:19Z</dcterms:modified>
  <cp:category/>
</cp:coreProperties>
</file>