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media/rId29.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Shape is a good cue when it’s present”: lexical statistics of early nouns in English and Korean</w:t>
      </w:r>
    </w:p>
    <w:p>
      <w:pPr>
        <w:pStyle w:val="Author"/>
      </w:pPr>
      <w:r>
        <w:t xml:space="preserve">first author</w:t>
      </w:r>
      <w:r>
        <w:rPr>
          <w:vertAlign w:val="superscript"/>
        </w:rPr>
        <w:t xml:space="preserve">1</w:t>
      </w:r>
      <w:r>
        <w:t xml:space="preserve">, second author</w:t>
      </w:r>
      <w:r>
        <w:rPr>
          <w:vertAlign w:val="superscript"/>
        </w:rPr>
        <w:t xml:space="preserve">2</w:t>
      </w:r>
      <w:r>
        <w:t xml:space="preserve">, third author</w:t>
      </w:r>
      <w:r>
        <w:rPr>
          <w:vertAlign w:val="superscript"/>
        </w:rPr>
        <w:t xml:space="preserve">2</w:t>
      </w:r>
      <w:r>
        <w:t xml:space="preserve">, &amp; fourth author</w:t>
      </w:r>
      <w:r>
        <w:rPr>
          <w:vertAlign w:val="superscript"/>
        </w:rPr>
        <w:t xml:space="preserve">1</w:t>
      </w:r>
    </w:p>
    <w:p>
      <w:pPr>
        <w:pStyle w:val="Author"/>
      </w:pPr>
      <w:r>
        <w:rPr>
          <w:vertAlign w:val="superscript"/>
        </w:rPr>
        <w:t xml:space="preserve">1</w:t>
      </w:r>
      <w:r>
        <w:t xml:space="preserve"> </w:t>
      </w:r>
      <w:r>
        <w:t xml:space="preserve">Some-University</w:t>
      </w:r>
    </w:p>
    <w:p>
      <w:pPr>
        <w:pStyle w:val="Author"/>
      </w:pPr>
      <w:r>
        <w:rPr>
          <w:vertAlign w:val="superscript"/>
        </w:rPr>
        <w:t xml:space="preserve">2</w:t>
      </w:r>
      <w:r>
        <w:t xml:space="preserve"> </w:t>
      </w:r>
      <w:r>
        <w:t xml:space="preserve">Some-University</w:t>
      </w:r>
    </w:p>
    <w:p>
      <w:pPr>
        <w:pStyle w:val="Textkrper"/>
      </w:pPr>
      <w:r>
        <w:t xml:space="preserve">                                                                                                                                                    </w:t>
      </w:r>
    </w:p>
    <w:p>
      <w:pPr>
        <w:pStyle w:val="Textkrper"/>
      </w:pPr>
      <w:r>
        <w:t xml:space="preserve"> </w:t>
      </w:r>
    </w:p>
    <w:p>
      <w:pPr>
        <w:pStyle w:val="authornote-title"/>
      </w:pPr>
      <w:r>
        <w:t xml:space="preserve">Author note</w:t>
      </w:r>
    </w:p>
    <w:p>
      <w:pPr>
        <w:pStyle w:val="authornote"/>
      </w:pPr>
      <w:r>
        <w:t xml:space="preserve">The authors declare no competing interests.</w:t>
      </w:r>
    </w:p>
    <w:p>
      <w:pPr>
        <w:pStyle w:val="authornote"/>
      </w:pPr>
      <w:r>
        <w:t xml:space="preserve">All data, experiment materials, and analysis code are publicly available at</w:t>
      </w:r>
      <w:r>
        <w:t xml:space="preserve"> </w:t>
      </w:r>
      <w:hyperlink r:id="rId19">
        <w:r>
          <w:rPr>
            <w:rStyle w:val="Hyperlink"/>
          </w:rPr>
          <w:t xml:space="preserve">https://osf.io/6fu8z/</w:t>
        </w:r>
      </w:hyperlink>
      <w:r>
        <w:t xml:space="preserve"> </w:t>
      </w:r>
      <w:r>
        <w:t xml:space="preserve">(anonymized review link:</w:t>
      </w:r>
      <w:r>
        <w:t xml:space="preserve"> </w:t>
      </w:r>
      <w:hyperlink r:id="rId20">
        <w:r>
          <w:rPr>
            <w:rStyle w:val="Hyperlink"/>
          </w:rPr>
          <w:t xml:space="preserve">https://osf.io/6fu8z/overview?view_only=993576c5a77d463490101b94f23d7ae3</w:t>
        </w:r>
      </w:hyperlink>
      <w:r>
        <w:t xml:space="preserve">).</w:t>
      </w:r>
    </w:p>
    <w:p>
      <w:pPr>
        <w:pStyle w:val="authornote"/>
      </w:pPr>
      <w:r>
        <w:t xml:space="preserve">The authors made the following contributions. first author: Conceptualization, Methodology, Investigation, Software, Formal Analysis, Writing - Original Draft Preparation, Writing - Review &amp; Editing; fourth author: Supervision, Writing - Review &amp; Editing.</w:t>
      </w:r>
    </w:p>
    <w:p>
      <w:pPr>
        <w:pStyle w:val="authornote"/>
      </w:pPr>
      <w:r>
        <w:t xml:space="preserve">Correspondence concerning this article should be addressed to first author, Department of Psychology, Some-University, Some-Address. E-mail:</w:t>
      </w:r>
      <w:r>
        <w:t xml:space="preserve"> </w:t>
      </w:r>
      <w:hyperlink r:id="rId21">
        <w:r>
          <w:rPr>
            <w:rStyle w:val="Hyperlink"/>
          </w:rPr>
          <w:t xml:space="preserve">my@email.com</w:t>
        </w:r>
      </w:hyperlink>
    </w:p>
    <w:p>
      <w:pPr>
        <w:pStyle w:val="h1-pagebreak"/>
      </w:pPr>
      <w:r>
        <w:t xml:space="preserve">Abstract</w:t>
      </w:r>
    </w:p>
    <w:p>
      <w:pPr>
        <w:pStyle w:val="Textkrper"/>
      </w:pPr>
      <w:r>
        <w:t xml:space="preserve">Children’s tendency to generalize new words by shape, the shape bias, is well documented in English-speaking children and reportedly weaker in children acquiring typologically different languages such as Korean. A prominent explanation, the statistical generalization account, attributes the bias to the distributional dominance of shape-organized nouns in the early lexicon. Across English and Korean adult rating samples, most early nouns were rated as solid and countable, but far fewer were organized by shape than the account predicts, and we detected no differences in shape ratings across the English-rated unilemma sets of 16 languages. Yet, mean shape ratings predicted earlier age of acquisition. Furthermore, Korean adults rated more nouns as shape-organized than English adults, the opposite of the developmental pattern reported in word extension tasks with Korean children. Because adult ratings judge the learned lexicon rather than children’s perceptual input, we read these results as constraining the lexical-statistics version of the account such that in its simplest form, it does not by itself explain cross-linguistic variation in the shape bias. Across 4 studies, we find a consistent dissociation in the lexical statistics adults attribute to early nouns: shape is a good cue for early noun learning rather than a common one.</w:t>
      </w:r>
    </w:p>
    <w:p>
      <w:pPr>
        <w:pStyle w:val="Textkrper"/>
      </w:pPr>
      <w:r>
        <w:rPr>
          <w:i/>
          <w:iCs/>
        </w:rPr>
        <w:t xml:space="preserve">Keywords:</w:t>
      </w:r>
      <w:r>
        <w:t xml:space="preserve"> </w:t>
      </w:r>
      <w:r>
        <w:t xml:space="preserve">shape bias; early word learning; age of acquisition; lexical statistics; cross-linguistic; Korean</w:t>
      </w:r>
    </w:p>
    <w:p>
      <w:pPr>
        <w:pStyle w:val="Textkrper"/>
      </w:pPr>
      <w:r>
        <w:rPr>
          <w:i/>
          <w:iCs/>
        </w:rPr>
        <w:t xml:space="preserve">Word count:</w:t>
      </w:r>
      <w:r>
        <w:t xml:space="preserve"> </w:t>
      </w:r>
      <w:r>
        <w:t xml:space="preserve">~8246 (papaja count, text body excluding references)</w:t>
      </w:r>
    </w:p>
    <w:p>
      <w:pPr>
        <w:pStyle w:val="h1-pagebreak"/>
      </w:pPr>
      <w:r>
        <w:t xml:space="preserve">Shape is a good cue when it’s present”: lexical statistics of early nouns in English and Korean</w:t>
      </w:r>
    </w:p>
    <w:bookmarkStart w:id="24" w:name="introduction"/>
    <w:p>
      <w:pPr>
        <w:pStyle w:val="berschrift1"/>
      </w:pPr>
      <w:r>
        <w:t xml:space="preserve">Introduction</w:t>
      </w:r>
    </w:p>
    <w:p>
      <w:pPr>
        <w:pStyle w:val="FirstParagraph"/>
      </w:pPr>
      <w:r>
        <w:t xml:space="preserve">The shape bias is the tendency of young children to generalize new words to new category members based on their shape</w:t>
      </w:r>
      <w:r>
        <w:t xml:space="preserve"> </w:t>
      </w:r>
      <w:r>
        <w:t xml:space="preserve">(Landau, Smith, &amp; Jones, 1988)</w:t>
      </w:r>
      <w:r>
        <w:t xml:space="preserve"> </w:t>
      </w:r>
      <w:r>
        <w:t xml:space="preserve">rather than other perceptual attributes like color, texture, or size</w:t>
      </w:r>
      <w:r>
        <w:t xml:space="preserve"> </w:t>
      </w:r>
      <w:r>
        <w:t xml:space="preserve">(Landau et al., 1988; Subrahmanyam &amp; Chen, 2006)</w:t>
      </w:r>
      <w:r>
        <w:t xml:space="preserve"> </w:t>
      </w:r>
      <w:r>
        <w:t xml:space="preserve">or conceptual attributes like a functional, thematic, or a taxonomic match</w:t>
      </w:r>
      <w:r>
        <w:t xml:space="preserve"> </w:t>
      </w:r>
      <w:r>
        <w:t xml:space="preserve">(Imai, Gentner, &amp; Uchida, 1994; Imai, Saalbach, &amp; Stern, 2010; Poulin-Dubois, Frank, Graham, &amp; Elkin, 1999; Yoshida &amp; Smith, 2003)</w:t>
      </w:r>
      <w:r>
        <w:t xml:space="preserve">. Researchers’ long-standing interest in the shape bias relates to its hypothesized role in early word learning. This bias has been extensively studied in English-speaking children in the US, where it emerges early and is thought to be a key mechanism for rapid vocabulary growth after the second year</w:t>
      </w:r>
      <w:r>
        <w:t xml:space="preserve"> </w:t>
      </w:r>
      <w:r>
        <w:t xml:space="preserve">(Gershkoff-Stowe &amp; Smith, 2004; Smith, Jones, Landau, Gershkoff-Stowe, &amp; Samuelson, 2002)</w:t>
      </w:r>
      <w:r>
        <w:t xml:space="preserve">.</w:t>
      </w:r>
    </w:p>
    <w:p>
      <w:pPr>
        <w:pStyle w:val="Textkrper"/>
      </w:pPr>
      <w:r>
        <w:t xml:space="preserve">One prominent explanation of the shape bias is that it is a statistical generalization of the early lexicon composition. The reasoning for this explanation is that solid objects that are referred to by count nouns are dominant in the early English lexicon</w:t>
      </w:r>
      <w:r>
        <w:t xml:space="preserve"> </w:t>
      </w:r>
      <w:r>
        <w:t xml:space="preserve">(Samuelson &amp; Smith, 1999)</w:t>
      </w:r>
      <w:r>
        <w:t xml:space="preserve">. These objects are usually organized by shape (</w:t>
      </w:r>
      <w:r>
        <w:t xml:space="preserve">“the category of balls are all ball shaped, while the category of water does not have a specific shape”</w:t>
      </w:r>
      <w:r>
        <w:t xml:space="preserve">). Several lines of evidence support this statistical generalization perspective on the shape bias. For example, when 17-month-olds were trained on names of objects that shared the exact same shape, but different in all their other dimensions, they developed a second order shape bias, and they showed more rapid acquisition of nouns as measured by parental reports</w:t>
      </w:r>
      <w:r>
        <w:t xml:space="preserve"> </w:t>
      </w:r>
      <w:r>
        <w:t xml:space="preserve">(Smith et al., 2002)</w:t>
      </w:r>
      <w:r>
        <w:t xml:space="preserve">. Training on close similarity of shape, and the consistency in the input is thought to be driving the bias and helped vocabulary acceleration. On the other hand,</w:t>
      </w:r>
      <w:r>
        <w:t xml:space="preserve"> </w:t>
      </w:r>
      <w:r>
        <w:t xml:space="preserve">Perry, Samuelson, Malloy, and Schiffer (2010)</w:t>
      </w:r>
      <w:r>
        <w:t xml:space="preserve"> </w:t>
      </w:r>
      <w:r>
        <w:t xml:space="preserve">found that variability of the exemplars of the category, for example different shapes of a</w:t>
      </w:r>
      <w:r>
        <w:t xml:space="preserve"> </w:t>
      </w:r>
      <w:r>
        <w:t xml:space="preserve">“chair”</w:t>
      </w:r>
      <w:r>
        <w:t xml:space="preserve"> </w:t>
      </w:r>
      <w:r>
        <w:t xml:space="preserve">instead of the exact same shape, predicts higher rate of acquisition. Nevertheless, both studies linked a higher order shape bias generalization to vocabulary growth. We refer to this account as the “statistical generalization” hypothesis.</w:t>
      </w:r>
    </w:p>
    <w:p>
      <w:pPr>
        <w:pStyle w:val="Textkrper"/>
      </w:pPr>
      <w:r>
        <w:t xml:space="preserve">The shape bias is thought to emerge developmentally during the period in which, on average, these distributional regularities become prominent in young children’s early vocabulary. For example,</w:t>
      </w:r>
      <w:r>
        <w:t xml:space="preserve"> </w:t>
      </w:r>
      <w:r>
        <w:t xml:space="preserve">Samuelson and Smith (1999)</w:t>
      </w:r>
      <w:r>
        <w:t xml:space="preserve"> </w:t>
      </w:r>
      <w:r>
        <w:t xml:space="preserve">asked 26 English-speaking adults in the US to judge the 312 nouns of the toddler MB-CDI, the parental-report measure of the productive vocabulary of children between 16 and 30 months; 13 adults judged count-mass syntax, and the other 13 judged solidity and category organization. Using an 85% agreement criterion (11 of 13 judges), 232 nouns (74%) were classified as count nouns, 197 (63%) as referring to solid things, and 150 (48%) as naming categories organized by shape similarity, with 110 nouns in the intersection of all three. Thus, perhaps when children learn the shape bias, they are learning about this cluster of properties and how much they co-vary.</w:t>
      </w:r>
    </w:p>
    <w:p>
      <w:pPr>
        <w:pStyle w:val="Textkrper"/>
      </w:pPr>
      <w:r>
        <w:t xml:space="preserve">The statistical generalization hypothesis is also supported by computational models showing that exposure to a lexicon with similar statistical properties can lead to the emergence of a shape bias in simulated learners</w:t>
      </w:r>
      <w:r>
        <w:t xml:space="preserve"> </w:t>
      </w:r>
      <w:r>
        <w:t xml:space="preserve">(Colunga &amp; Smith, 2005; Perry &amp; Samuelson, 2011)</w:t>
      </w:r>
      <w:r>
        <w:t xml:space="preserve">. A study utilizing Bayesian models further demonstrated that the shape bias can emerge from the statistical structure of the lexicon</w:t>
      </w:r>
      <w:r>
        <w:t xml:space="preserve"> </w:t>
      </w:r>
      <w:r>
        <w:t xml:space="preserve">(Kemp, Perfors, &amp; Tenenbaum, 2007)</w:t>
      </w:r>
      <w:r>
        <w:t xml:space="preserve">, although this schematic model did not engage the precise statistics of the English lexicon.</w:t>
      </w:r>
    </w:p>
    <w:bookmarkStart w:id="22" w:name="cross-linguistic-variation"/>
    <w:p>
      <w:pPr>
        <w:pStyle w:val="berschrift2"/>
      </w:pPr>
      <w:r>
        <w:t xml:space="preserve">Cross-linguistic variation</w:t>
      </w:r>
    </w:p>
    <w:p>
      <w:pPr>
        <w:pStyle w:val="FirstParagraph"/>
      </w:pPr>
      <w:r>
        <w:t xml:space="preserve">The statistical generalization hypothesis makes a key prediction: in languages with different distributional structures, the resulting inductive bias should be different. In particular, if the strength of the shape bias or even its presence depends on the degree of correspondence between the distributional properties of environmental (i.e. the dominance of solid vs. non-solid objects, artifacts vs. natural objects, or shape organization of categories) and linguistic correlates (i.e. count or mass syntax, classifiers) of nouns to object kinds mapping, then cross-linguistic variation in these correlates should predict cross-linguistic variation in the shape bias. For example, the shape bias has been found to be weaker in children acquiring East Asian languages such as Korean and Japanese</w:t>
      </w:r>
      <w:r>
        <w:t xml:space="preserve"> </w:t>
      </w:r>
      <w:r>
        <w:t xml:space="preserve">(Abdelrahim &amp; Frank, 2026; Gathercole &amp; Min, 1997; Imai et al., 2008; Imai &amp; Gentner, 1997; Yoshida &amp; Smith, 2005)</w:t>
      </w:r>
      <w:r>
        <w:t xml:space="preserve">.</w:t>
      </w:r>
    </w:p>
    <w:p>
      <w:pPr>
        <w:pStyle w:val="Textkrper"/>
      </w:pPr>
      <w:r>
        <w:t xml:space="preserve">One aspect, the syntactic distinction between count and mass nouns, is a fundamental aspect of noun classification in many languages. Count nouns typically refer to discrete, countable objects (e.g.,</w:t>
      </w:r>
      <w:r>
        <w:t xml:space="preserve"> </w:t>
      </w:r>
      <w:r>
        <w:t xml:space="preserve">“dog”</w:t>
      </w:r>
      <w:r>
        <w:t xml:space="preserve">,</w:t>
      </w:r>
      <w:r>
        <w:t xml:space="preserve"> </w:t>
      </w:r>
      <w:r>
        <w:t xml:space="preserve">“car”</w:t>
      </w:r>
      <w:r>
        <w:t xml:space="preserve">), while mass nouns refer to uncountable substances or aggregates (e.g.,</w:t>
      </w:r>
      <w:r>
        <w:t xml:space="preserve"> </w:t>
      </w:r>
      <w:r>
        <w:t xml:space="preserve">“water”</w:t>
      </w:r>
      <w:r>
        <w:t xml:space="preserve">,</w:t>
      </w:r>
      <w:r>
        <w:t xml:space="preserve"> </w:t>
      </w:r>
      <w:r>
        <w:t xml:space="preserve">“sand”</w:t>
      </w:r>
      <w:r>
        <w:t xml:space="preserve">). In English, count nouns are often associated with solid objects that are organized by shape, while mass nouns are more likely to refer to non-solid substances that are organized by material</w:t>
      </w:r>
      <w:r>
        <w:t xml:space="preserve"> </w:t>
      </w:r>
      <w:r>
        <w:t xml:space="preserve">(Barner &amp; Snedeker, 2005; Bloom, 1994)</w:t>
      </w:r>
      <w:r>
        <w:t xml:space="preserve">. This syntactic distinction is thought to play a crucial role in the development of the shape bias, as children learn to associate count nouns with shape-based categorization and mass nouns with material-based categorization</w:t>
      </w:r>
      <w:r>
        <w:t xml:space="preserve"> </w:t>
      </w:r>
      <w:r>
        <w:t xml:space="preserve">(Samuelson &amp; Smith, 1999; Smith, Jones, &amp; Landau, 1996)</w:t>
      </w:r>
      <w:r>
        <w:t xml:space="preserve">. The mechanism by which syntax operates has been debated: syntax may permanently change the mental construal of the referent, or it may act as a temporary cue that children accumulate across time and correlate with additional cues that guide their attention to shape as a relevant feature for categorization.</w:t>
      </w:r>
    </w:p>
    <w:p>
      <w:pPr>
        <w:pStyle w:val="Textkrper"/>
      </w:pPr>
      <w:r>
        <w:t xml:space="preserve">Some studies have suggested that the shape bias may be less pronounced or absent in languages with different noun classification systems or morphological structures (e.g., Chinese, Japanese, Korean). The lack of this distinctive linguistic cue that differentiates between count and mass nouns and the corresponding referents make the correlates that give rise to the shape bias less salient in some languages. For example, in languages like Korean and Japanese, where the count-mass distinction is not as syntactically marked as in English, children may be less likely to develop a strong shape bias.</w:t>
      </w:r>
    </w:p>
    <w:bookmarkEnd w:id="22"/>
    <w:bookmarkStart w:id="23" w:name="the-current-study"/>
    <w:p>
      <w:pPr>
        <w:pStyle w:val="berschrift2"/>
      </w:pPr>
      <w:r>
        <w:t xml:space="preserve">The current study</w:t>
      </w:r>
    </w:p>
    <w:p>
      <w:pPr>
        <w:pStyle w:val="FirstParagraph"/>
      </w:pPr>
      <w:r>
        <w:t xml:space="preserve">We ask whether the relevant lexical statistics for the emergence of the shape bias are in fact dominant, vary across languages in line with the child shape bias, and predict when individual words are learned. An ideal test would require independent, precise measurements of both the lexical statistics for a set of languages and the shape bias estimates of groups of children acquiring those languages. This study design is cost-prohibitive, however. Thus, as an initial step, we used a combination of pre-existing data and new annotations to examine differences in lexical statistics across early-learned nouns in 16 languages.</w:t>
      </w:r>
    </w:p>
    <w:p>
      <w:pPr>
        <w:pStyle w:val="Textkrper"/>
      </w:pPr>
      <w:r>
        <w:t xml:space="preserve">Following the general design of</w:t>
      </w:r>
      <w:r>
        <w:t xml:space="preserve"> </w:t>
      </w:r>
      <w:r>
        <w:t xml:space="preserve">Samuelson and Smith (1999)</w:t>
      </w:r>
      <w:r>
        <w:t xml:space="preserve">, in Study 1 we asked English-speaking raters to judge lexical properties of early learned nouns in the chosen languages. Using pre-existing cross-linguistic conceptual mappings</w:t>
      </w:r>
      <w:r>
        <w:t xml:space="preserve"> </w:t>
      </w:r>
      <w:r>
        <w:t xml:space="preserve">“uni-lemmas”</w:t>
      </w:r>
      <w:r>
        <w:t xml:space="preserve">, we then map these ratings to the early vocabularies of children acquiring these different languages. These ratings then create a proxy for the cluster of noun concepts being learned by children speaking these languages. This strategy has the weakness that cross-linguistic differences may not emerge due to the source of the ratings for all languages being English speakers. If there are conceptual differences that lead to differences in lexical properties for the same item across languages and cultures, then homogeneous ratings would mask those differences. To address this issue, in Study 2 we compare ratings from Korean speakers, an East Asian language that is thought to have a weaker shape bias. In Study 3 we manipulate response format and semantic grouping factorially and identify which factors move the ratings.</w:t>
      </w:r>
    </w:p>
    <w:p>
      <w:pPr>
        <w:pStyle w:val="Textkrper"/>
      </w:pPr>
      <w:r>
        <w:t xml:space="preserve">We test three predictions of the statistical generalization account, plus one methodological question that the cross-linguistic comparison raises and that must be settled before the predictions can be evaluated:</w:t>
      </w:r>
    </w:p>
    <w:p>
      <w:pPr>
        <w:numPr>
          <w:ilvl w:val="0"/>
          <w:numId w:val="1001"/>
        </w:numPr>
      </w:pPr>
      <w:r>
        <w:t xml:space="preserve">We first collect English-speaker ratings to isolate the lexicon-side prediction.</w:t>
      </w:r>
    </w:p>
    <w:p>
      <w:pPr>
        <w:numPr>
          <w:ilvl w:val="0"/>
          <w:numId w:val="1001"/>
        </w:numPr>
      </w:pPr>
      <w:r>
        <w:t xml:space="preserve">If the conceptions are universal, English- and Korean-speaker ratings of the same items should align; if they diverge, that divergence is itself a cross-linguistic signal that the unilemma-based design in Study 1 is unable to detect.</w:t>
      </w:r>
    </w:p>
    <w:p>
      <w:pPr>
        <w:numPr>
          <w:ilvl w:val="0"/>
          <w:numId w:val="1001"/>
        </w:numPr>
      </w:pPr>
      <w:r>
        <w:t xml:space="preserve">The statistical-generalization account makes the further prediction that the lexical properties dominant in early vocabulary should also be the ones that predict when individual words are acquired. We use externally derived age of acquisition (AoA) estimates to model AoA, and ask whether shape, solidity, and countability uniquely predict AoA after controlling for word frequency and concreteness. A dissociation between which features are common in the early lexicon and which features predict early acquisition would distinguish a</w:t>
      </w:r>
      <w:r>
        <w:t xml:space="preserve"> </w:t>
      </w:r>
      <w:r>
        <w:t xml:space="preserve">“good-cue”</w:t>
      </w:r>
      <w:r>
        <w:t xml:space="preserve"> </w:t>
      </w:r>
      <w:r>
        <w:t xml:space="preserve">account (shape facilitates learning when it is available) from a pure</w:t>
      </w:r>
      <w:r>
        <w:t xml:space="preserve"> </w:t>
      </w:r>
      <w:r>
        <w:t xml:space="preserve">“exposure”</w:t>
      </w:r>
      <w:r>
        <w:t xml:space="preserve"> </w:t>
      </w:r>
      <w:r>
        <w:t xml:space="preserve">account (shape facilitates learning because it is dominant in the input).</w:t>
      </w:r>
    </w:p>
    <w:bookmarkEnd w:id="23"/>
    <w:bookmarkEnd w:id="24"/>
    <w:bookmarkStart w:id="47" w:name="Xe929741274460ff344213a3a141e3ab398efd87"/>
    <w:p>
      <w:pPr>
        <w:pStyle w:val="berschrift1"/>
      </w:pPr>
      <w:r>
        <w:t xml:space="preserve">Study 1: Rating lexical properties in English</w:t>
      </w:r>
    </w:p>
    <w:bookmarkStart w:id="34" w:name="methods"/>
    <w:p>
      <w:pPr>
        <w:pStyle w:val="berschrift2"/>
      </w:pPr>
      <w:r>
        <w:t xml:space="preserve">Methods</w:t>
      </w:r>
    </w:p>
    <w:p>
      <w:pPr>
        <w:pStyle w:val="FirstParagraph"/>
      </w:pPr>
      <w:r>
        <w:t xml:space="preserve">This study extends</w:t>
      </w:r>
      <w:r>
        <w:t xml:space="preserve"> </w:t>
      </w:r>
      <w:r>
        <w:t xml:space="preserve">Samuelson and Smith (1999)</w:t>
      </w:r>
      <w:r>
        <w:t xml:space="preserve"> </w:t>
      </w:r>
      <w:r>
        <w:t xml:space="preserve">by collecting ratings on early learned nouns from the CDI of 16 languages including English. The ratings were collected for the same three dimensions, but for a much larger set of nouns (N = 664) that are early learned across these 16 languages. We then compared the distribution of ratings across languages, and the correspondence between the three dimensions across languages.</w:t>
      </w:r>
    </w:p>
    <w:bookmarkStart w:id="26" w:name="participants"/>
    <w:p>
      <w:pPr>
        <w:pStyle w:val="berschrift3"/>
      </w:pPr>
      <w:r>
        <w:t xml:space="preserve">Participants.</w:t>
      </w:r>
    </w:p>
    <w:p>
      <w:pPr>
        <w:pStyle w:val="FirstParagraph"/>
      </w:pPr>
      <w:r>
        <w:t xml:space="preserve">336 English-speaking adults recruited online from the Prolific platform (mean age = 41, SD = 14) were asked to rate nouns on three dimensions: solidity (solid, non-solid, unclear), count and mass noun syntax (count, mass, unclear), and organizing feature (shape, color, material, none of these).</w:t>
      </w:r>
      <w:r>
        <w:rPr>
          <w:rStyle w:val="Funotenzeichen"/>
        </w:rPr>
        <w:footnoteReference w:id="25"/>
      </w:r>
      <w:r>
        <w:t xml:space="preserve"> </w:t>
      </w:r>
      <w:r>
        <w:t xml:space="preserve">All participants provided informed consent prior to participation.</w:t>
      </w:r>
    </w:p>
    <w:bookmarkEnd w:id="26"/>
    <w:bookmarkStart w:id="27" w:name="materials"/>
    <w:p>
      <w:pPr>
        <w:pStyle w:val="berschrift3"/>
      </w:pPr>
      <w:r>
        <w:t xml:space="preserve">Materials.</w:t>
      </w:r>
    </w:p>
    <w:p>
      <w:pPr>
        <w:pStyle w:val="FirstParagraph"/>
      </w:pPr>
      <w:r>
        <w:t xml:space="preserve">A set of nouns were sourced from CDI data on the Wordbank repository of 16 languages (</w:t>
      </w:r>
      <w:r>
        <w:t xml:space="preserve">“English (American)”</w:t>
      </w:r>
      <w:r>
        <w:t xml:space="preserve">,</w:t>
      </w:r>
      <w:r>
        <w:t xml:space="preserve"> </w:t>
      </w:r>
      <w:r>
        <w:t xml:space="preserve">“Mandarin (Beijing)”</w:t>
      </w:r>
      <w:r>
        <w:t xml:space="preserve">,</w:t>
      </w:r>
      <w:r>
        <w:t xml:space="preserve"> </w:t>
      </w:r>
      <w:r>
        <w:t xml:space="preserve">“Korean”</w:t>
      </w:r>
      <w:r>
        <w:t xml:space="preserve">,</w:t>
      </w:r>
      <w:r>
        <w:t xml:space="preserve"> </w:t>
      </w:r>
      <w:r>
        <w:t xml:space="preserve">“English (Australian)”</w:t>
      </w:r>
      <w:r>
        <w:t xml:space="preserve">,</w:t>
      </w:r>
      <w:r>
        <w:t xml:space="preserve"> </w:t>
      </w:r>
      <w:r>
        <w:t xml:space="preserve">“Cantonese”</w:t>
      </w:r>
      <w:r>
        <w:t xml:space="preserve">,</w:t>
      </w:r>
      <w:r>
        <w:t xml:space="preserve"> </w:t>
      </w:r>
      <w:r>
        <w:t xml:space="preserve">“Catalan”</w:t>
      </w:r>
      <w:r>
        <w:t xml:space="preserve"> </w:t>
      </w:r>
      <w:r>
        <w:t xml:space="preserve">,</w:t>
      </w:r>
      <w:r>
        <w:t xml:space="preserve"> </w:t>
      </w:r>
      <w:r>
        <w:t xml:space="preserve">“Japanese”</w:t>
      </w:r>
      <w:r>
        <w:t xml:space="preserve">,</w:t>
      </w:r>
      <w:r>
        <w:t xml:space="preserve"> </w:t>
      </w:r>
      <w:r>
        <w:t xml:space="preserve">“Turkish”</w:t>
      </w:r>
      <w:r>
        <w:t xml:space="preserve"> </w:t>
      </w:r>
      <w:r>
        <w:t xml:space="preserve">,</w:t>
      </w:r>
      <w:r>
        <w:t xml:space="preserve"> </w:t>
      </w:r>
      <w:r>
        <w:t xml:space="preserve">“Spanish (Mexican)”</w:t>
      </w:r>
      <w:r>
        <w:t xml:space="preserve">,</w:t>
      </w:r>
      <w:r>
        <w:t xml:space="preserve"> </w:t>
      </w:r>
      <w:r>
        <w:t xml:space="preserve">“Russian”</w:t>
      </w:r>
      <w:r>
        <w:t xml:space="preserve">,</w:t>
      </w:r>
      <w:r>
        <w:t xml:space="preserve"> </w:t>
      </w:r>
      <w:r>
        <w:t xml:space="preserve">“Kiswahili”</w:t>
      </w:r>
      <w:r>
        <w:t xml:space="preserve">,</w:t>
      </w:r>
      <w:r>
        <w:t xml:space="preserve"> </w:t>
      </w:r>
      <w:r>
        <w:t xml:space="preserve">“Mandarin (Taiwanese)”</w:t>
      </w:r>
      <w:r>
        <w:t xml:space="preserve">,</w:t>
      </w:r>
      <w:r>
        <w:t xml:space="preserve"> </w:t>
      </w:r>
      <w:r>
        <w:t xml:space="preserve">“Spanish (Peruvian)”</w:t>
      </w:r>
      <w:r>
        <w:t xml:space="preserve">,</w:t>
      </w:r>
      <w:r>
        <w:t xml:space="preserve"> </w:t>
      </w:r>
      <w:r>
        <w:t xml:space="preserve">“Spanish (European)”</w:t>
      </w:r>
      <w:r>
        <w:t xml:space="preserve">,</w:t>
      </w:r>
      <w:r>
        <w:t xml:space="preserve"> </w:t>
      </w:r>
      <w:r>
        <w:t xml:space="preserve">“Hebrew”</w:t>
      </w:r>
      <w:r>
        <w:t xml:space="preserve">,</w:t>
      </w:r>
      <w:r>
        <w:t xml:space="preserve"> </w:t>
      </w:r>
      <w:r>
        <w:t xml:space="preserve">“French (French)”</w:t>
      </w:r>
      <w:r>
        <w:t xml:space="preserve">) that represented seven linguistic families: (Indo-European, Sino-Tibetan, Koreanic, Japonic, Turkic, Niger-Congo, Afro-Asiatic), and were available through the Wordbank software package.</w:t>
      </w:r>
      <w:r>
        <w:t xml:space="preserve"> </w:t>
      </w:r>
      <w:r>
        <w:t xml:space="preserve">The nouns were chosen based on the earliest age of acquisition in the dataset, up to a maximum of 300 nouns. Because we only recruited English-speaking participants, nouns were presented in English and mapped across languages via conceptual mappings, universal lemmas or “unilemmas”</w:t>
      </w:r>
      <w:r>
        <w:t xml:space="preserve"> </w:t>
      </w:r>
      <w:r>
        <w:t xml:space="preserve">(Frank, Braginsky, Yurovsky, &amp; Marchman, 2021)</w:t>
      </w:r>
      <w:r>
        <w:t xml:space="preserve">. A “unilemma” is the concept behind the noun expressed in the English language (“dog” and “Hund” both map to the same underlying concept of “dog”, which is used as the unilemma in this case).</w:t>
      </w:r>
    </w:p>
    <w:p>
      <w:pPr>
        <w:pStyle w:val="Textkrper"/>
      </w:pPr>
      <w:r>
        <w:t xml:space="preserve">Across the 16 languages, the early-noun lists comprised 3,562 noun-by-language entries. Because many concepts recur across languages, these reduce to 664 unique unilemmas after removing duplicates, which is the set English raters judged. The pairwise overlap between the languages is quantified in the supplementary materials, along with the breakdown of the semantic categories. Most nouns belonged to the semantic categories of food and drinks, clothing, and animals, with a few words referring to vehicles, toys, body parts, household items, and outside things. The size of the noun set for each language differs based on the availability of data in the Wordbank repository (M = 223, min = 53, max = 291, SD = 81 nouns per language).</w:t>
      </w:r>
    </w:p>
    <w:bookmarkEnd w:id="27"/>
    <w:bookmarkStart w:id="28" w:name="procedure"/>
    <w:p>
      <w:pPr>
        <w:pStyle w:val="berschrift3"/>
      </w:pPr>
      <w:r>
        <w:t xml:space="preserve">Procedure.</w:t>
      </w:r>
    </w:p>
    <w:p>
      <w:pPr>
        <w:pStyle w:val="FirstParagraph"/>
      </w:pPr>
      <w:r>
        <w:t xml:space="preserve">The experiment started with familiarization trials in which participants were provided with demonstrations of count and mass nouns, solid objects, and non-solid objects. They were also familiarized with what a category-organizing or characterizing feature means (The organizing feature for pottery is the material used, while for ball is shape of the object for example). Then the test trials followed the same wording and structure. Every dimension (solidity, count-mass syntax, and category organizing feature) constituted a block, and every participant rated 20 nouns per block, so there were 60 test trials per participant in total. Familiarization trials, test blocks, and nouns within a block were all randomized across participants. No information about the semantic category of nouns was given to participants, nor were the nouns grouped by their semantic category. Participants were only allowed to choose one feature in all questions. Full trial wording and interface are documented with browser-ready experiment files in the public repository.</w:t>
      </w:r>
    </w:p>
    <w:bookmarkEnd w:id="28"/>
    <w:bookmarkStart w:id="33" w:name="data-analysis"/>
    <w:p>
      <w:pPr>
        <w:pStyle w:val="berschrift3"/>
      </w:pPr>
      <w:r>
        <w:t xml:space="preserve">Data analysis.</w:t>
      </w:r>
    </w:p>
    <w:p>
      <w:pPr>
        <w:pStyle w:val="CaptionedFigure"/>
      </w:pPr>
      <w:r>
        <w:drawing>
          <wp:inline>
            <wp:extent cx="4178300" cy="3342640"/>
            <wp:effectExtent b="0" l="0" r="0" t="0"/>
            <wp:docPr descr="Figure 1: Word-level rating distributions for solid, count, and shape responses in four representative languages from Study 1 (English American, Korean, Mandarin Beijing, Japanese). Curves show kernel density of per-word proportions; the 12 remaining languages appear in the Supplement." title="" id="30" name="Picture"/>
            <a:graphic>
              <a:graphicData uri="http://schemas.openxmlformats.org/drawingml/2006/picture">
                <pic:pic>
                  <pic:nvPicPr>
                    <pic:cNvPr descr="data/figures/correspondenceeng1-1.png" id="31" name="Picture"/>
                    <pic:cNvPicPr>
                      <a:picLocks noChangeArrowheads="1" noChangeAspect="1"/>
                    </pic:cNvPicPr>
                  </pic:nvPicPr>
                  <pic:blipFill>
                    <a:blip r:embed="rId29"/>
                    <a:stretch>
                      <a:fillRect/>
                    </a:stretch>
                  </pic:blipFill>
                  <pic:spPr bwMode="auto">
                    <a:xfrm>
                      <a:off x="0" y="0"/>
                      <a:ext cx="4178300" cy="3342640"/>
                    </a:xfrm>
                    <a:prstGeom prst="rect">
                      <a:avLst/>
                    </a:prstGeom>
                    <a:noFill/>
                    <a:ln w="9525">
                      <a:noFill/>
                      <a:headEnd/>
                      <a:tailEnd/>
                    </a:ln>
                  </pic:spPr>
                </pic:pic>
              </a:graphicData>
            </a:graphic>
          </wp:inline>
        </w:drawing>
      </w:r>
    </w:p>
    <w:p>
      <w:pPr>
        <w:pStyle w:val="ImageCaption"/>
      </w:pPr>
      <w:bookmarkStart w:id="32" w:name="fig:correspondenceeng1"/>
      <w:bookmarkEnd w:id="32"/>
      <w:r>
        <w:rPr>
          <w:i/>
          <w:iCs/>
        </w:rPr>
        <w:t xml:space="preserve">Figure</w:t>
      </w:r>
      <w:r>
        <w:t xml:space="preserve"> </w:t>
      </w:r>
      <w:r>
        <w:t xml:space="preserve">1. Word-level rating distributions for solid, count, and shape responses in four representative languages from Study 1 (English American, Korean, Mandarin Beijing, Japanese). Curves show kernel density of per-word proportions; the 12 remaining languages appear in the Supplement.</w:t>
      </w:r>
    </w:p>
    <w:p>
      <w:pPr>
        <w:pStyle w:val="Textkrper"/>
      </w:pPr>
      <w:r>
        <w:t xml:space="preserve">We calculated the proportion of responses for each feature per noun. For example, if a word was rated by 10 participants in total, and 7 of them rated it as solid, the proportion of solid responses for that word would be 0.7. First, we assessed the correspondence between the three dimensions using Pearson correlation analysis. We then conducted a permutation test by shuffling language labels, comparing each language’s distribution of shape-based categorization responses against a null distribution of no cross-linguistic differences. Because the bands are pointwise rather than simultaneous, an observed curve that stays within the envelope indicates an absence of detectable differences rather than a demonstration of equivalence.</w:t>
      </w:r>
    </w:p>
    <w:p>
      <w:pPr>
        <w:pStyle w:val="Textkrper"/>
      </w:pPr>
      <w:r>
        <w:t xml:space="preserve">Additionally, and similar to</w:t>
      </w:r>
      <w:r>
        <w:t xml:space="preserve"> </w:t>
      </w:r>
      <w:r>
        <w:t xml:space="preserve">Samuelson and Smith (1999)</w:t>
      </w:r>
      <w:r>
        <w:t xml:space="preserve">, who classified nouns using an 85% agreement criterion and report similar conclusions under a 60% sensitivity criterion, we categorized the nouns into three categories: solid, count noun, and shape-based using a cutoff of 80%, a slightly less conservative value. A noun rated by at least 80% of the participants as solid is categorized as solid, and likewise for the other dimensions. We then visualized the overlap between these categories using Euler diagrams.</w:t>
      </w:r>
    </w:p>
    <w:p>
      <w:pPr>
        <w:pStyle w:val="Textkrper"/>
      </w:pPr>
      <w:r>
        <w:t xml:space="preserve">Lastly, we also calculated inter-rater agreement using the word-level consensus approach, which involves calculating the mode of the ratings for each word and then computing the percentage of raters who agreed with the mode. This gives us a measure of how consistently participants rated each word across the three dimensions.</w:t>
      </w:r>
    </w:p>
    <w:bookmarkEnd w:id="33"/>
    <w:bookmarkEnd w:id="34"/>
    <w:bookmarkStart w:id="39" w:name="results"/>
    <w:p>
      <w:pPr>
        <w:pStyle w:val="berschrift2"/>
      </w:pPr>
      <w:r>
        <w:t xml:space="preserve">Results</w:t>
      </w:r>
    </w:p>
    <w:p>
      <w:pPr>
        <w:pStyle w:val="CaptionedFigure"/>
      </w:pPr>
      <w:r>
        <w:drawing>
          <wp:inline>
            <wp:extent cx="4476750" cy="3581400"/>
            <wp:effectExtent b="0" l="0" r="0" t="0"/>
            <wp:docPr descr="Figure 2: Density curves of shape-based categorization responses for each language (blue lines) compared to the pointwise 95 percent null envelope generated by 1,000 permutations of language labels (gray bands). The observed density curves fall within the null envelope for every language, consistent with no detectable differences in lexical statistics across languages." title="" id="36" name="Picture"/>
            <a:graphic>
              <a:graphicData uri="http://schemas.openxmlformats.org/drawingml/2006/picture">
                <pic:pic>
                  <pic:nvPicPr>
                    <pic:cNvPr descr="data/figures/permutateddisteng1-1.png" id="37" name="Picture"/>
                    <pic:cNvPicPr>
                      <a:picLocks noChangeArrowheads="1" noChangeAspect="1"/>
                    </pic:cNvPicPr>
                  </pic:nvPicPr>
                  <pic:blipFill>
                    <a:blip r:embed="rId35"/>
                    <a:stretch>
                      <a:fillRect/>
                    </a:stretch>
                  </pic:blipFill>
                  <pic:spPr bwMode="auto">
                    <a:xfrm>
                      <a:off x="0" y="0"/>
                      <a:ext cx="4476750" cy="3581400"/>
                    </a:xfrm>
                    <a:prstGeom prst="rect">
                      <a:avLst/>
                    </a:prstGeom>
                    <a:noFill/>
                    <a:ln w="9525">
                      <a:noFill/>
                      <a:headEnd/>
                      <a:tailEnd/>
                    </a:ln>
                  </pic:spPr>
                </pic:pic>
              </a:graphicData>
            </a:graphic>
          </wp:inline>
        </w:drawing>
      </w:r>
    </w:p>
    <w:p>
      <w:pPr>
        <w:pStyle w:val="ImageCaption"/>
      </w:pPr>
      <w:bookmarkStart w:id="38" w:name="fig:permutateddisteng1"/>
      <w:bookmarkEnd w:id="38"/>
      <w:r>
        <w:rPr>
          <w:i/>
          <w:iCs/>
        </w:rPr>
        <w:t xml:space="preserve">Figure</w:t>
      </w:r>
      <w:r>
        <w:t xml:space="preserve"> </w:t>
      </w:r>
      <w:r>
        <w:t xml:space="preserve">2. Density curves of shape-based categorization responses for each language (blue lines) compared to the pointwise 95 percent null envelope generated by 1,000 permutations of language labels (gray bands). The observed density curves fall within the null envelope for every language, consistent with no detectable differences in lexical statistics across languages.</w:t>
      </w:r>
    </w:p>
    <w:p>
      <w:pPr>
        <w:pStyle w:val="Textkrper"/>
      </w:pPr>
      <w:r>
        <w:t xml:space="preserve">We collected ratings from 336 participants across the three blocks. After dropping practice and attention-check trials and trials with no recorded response, 15,976 ratings were retained for analysis, covering 664 nouns (per-block noun counts differ by a few nouns because not every noun retained ratings in every block, which is why item counts vary slightly across analyses). Nouns received an average of 6.88 (solidity), 6.91 (count-mass), and 10.31 (category-organizing) ratings per block. Included in the supplementary materials are the demographic details of the participants and the distribution of ratings across nouns and blocks.</w:t>
      </w:r>
    </w:p>
    <w:p>
      <w:pPr>
        <w:pStyle w:val="Textkrper"/>
      </w:pPr>
      <w:r>
        <w:t xml:space="preserve">Word-level inter-rater agreement, computed as the proportion of raters choosing the modal response for each noun and then averaged across nouns, was high for solidity (0.83) and count-mass syntax (0.78), and lower but well above chance for the organizing-feature block (0.58), the dimension raters found hardest to articulate. Split-half reliabilities of the item-level proportions (random rater halves, Spearman-Brown corrected, 100 splits) show the same ordering: 0.82 for solidity, 0.71 for count-mass syntax, and 0.51 for the organizing feature within this sample alone. This leaves substantial item-level noise that could by itself produce a flat or low shape distribution, and the analyses that build on this measure therefore use item-level proportions averaged across two independent samples. The retest reported below provides a second, test-retest check on the shape measure.</w:t>
      </w:r>
    </w:p>
    <w:p>
      <w:pPr>
        <w:pStyle w:val="Textkrper"/>
      </w:pPr>
      <w:r>
        <w:t xml:space="preserve">Across languages, the ratings proportions were very consistent, suggesting limited variation in the distributional statistics (Figure</w:t>
      </w:r>
      <w:r>
        <w:t xml:space="preserve"> </w:t>
      </w:r>
      <w:r>
        <w:t xml:space="preserve">1</w:t>
      </w:r>
      <w:r>
        <w:t xml:space="preserve">); Figure</w:t>
      </w:r>
      <w:r>
        <w:t xml:space="preserve"> </w:t>
      </w:r>
      <w:r>
        <w:t xml:space="preserve">2</w:t>
      </w:r>
      <w:r>
        <w:t xml:space="preserve"> </w:t>
      </w:r>
      <w:r>
        <w:t xml:space="preserve">shows the formal comparison of each language’s shape distribution against a permuted-label null envelope. Overall, nouns</w:t>
      </w:r>
      <w:r>
        <w:t xml:space="preserve"> </w:t>
      </w:r>
      <w:r>
        <w:t xml:space="preserve">“uni-lemmas”</w:t>
      </w:r>
      <w:r>
        <w:t xml:space="preserve"> </w:t>
      </w:r>
      <w:r>
        <w:t xml:space="preserve">were predominantly rated as solid (M = 0.81, SD = 0.22) and count (M = 0.74, SD = 0.24), but were less reliably judged as being organized by shape (M = 0.29, SD = 0.22). Raters spread organizing-feature responses over material (36%), none of these (31%), shape (29%), and color (4%), so shape accounted for 41% of committed (shape, color, or material) responses. At the item level, the modal organizing feature was material for 36% of nouns, shape for 26%, and none of these for 25%, whereas the modal response was solid for 78% of nouns and count for 76%. There was a moderate positive correlation between solidity and count syntax (</w:t>
      </w:r>
      <m:oMath>
        <m:r>
          <m:t>r</m:t>
        </m:r>
      </m:oMath>
      <w:r>
        <w:t xml:space="preserve"> </w:t>
      </w:r>
      <w:r>
        <w:t xml:space="preserve">= 0.59,</w:t>
      </w:r>
      <w:r>
        <w:t xml:space="preserve"> </w:t>
      </w:r>
      <m:oMath>
        <m:r>
          <m:t>p</m:t>
        </m:r>
      </m:oMath>
      <w:r>
        <w:t xml:space="preserve"> </w:t>
      </w:r>
      <w:r>
        <w:t xml:space="preserve">&lt; .001), a weak positive correlation between count syntax and shape-based categorization (</w:t>
      </w:r>
      <m:oMath>
        <m:r>
          <m:t>r</m:t>
        </m:r>
      </m:oMath>
      <w:r>
        <w:t xml:space="preserve"> </w:t>
      </w:r>
      <w:r>
        <w:t xml:space="preserve">= 0.45,</w:t>
      </w:r>
      <w:r>
        <w:t xml:space="preserve"> </w:t>
      </w:r>
      <m:oMath>
        <m:r>
          <m:t>p</m:t>
        </m:r>
      </m:oMath>
      <w:r>
        <w:t xml:space="preserve"> </w:t>
      </w:r>
      <w:r>
        <w:t xml:space="preserve">&lt; .001), and a weaker positive correlation between solidity and shape-based categorization (</w:t>
      </w:r>
      <m:oMath>
        <m:r>
          <m:t>r</m:t>
        </m:r>
      </m:oMath>
      <w:r>
        <w:t xml:space="preserve"> </w:t>
      </w:r>
      <w:r>
        <w:t xml:space="preserve">= 0.38,</w:t>
      </w:r>
      <w:r>
        <w:t xml:space="preserve"> </w:t>
      </w:r>
      <m:oMath>
        <m:r>
          <m:t>p</m:t>
        </m:r>
      </m:oMath>
      <w:r>
        <w:t xml:space="preserve"> </w:t>
      </w:r>
      <w:r>
        <w:t xml:space="preserve">&lt; .001). Conditional on the 244 nouns meeting the 80% criterion for both solidity and count syntax, mean shape rose only to 0.39, and 2% met the 80% shape criterion, a much sparser intersection than the 110 of 312 nouns</w:t>
      </w:r>
      <w:r>
        <w:t xml:space="preserve"> </w:t>
      </w:r>
      <w:r>
        <w:t xml:space="preserve">Samuelson and Smith (1999)</w:t>
      </w:r>
      <w:r>
        <w:t xml:space="preserve"> </w:t>
      </w:r>
      <w:r>
        <w:t xml:space="preserve">reported at their 85% criterion.</w:t>
      </w:r>
    </w:p>
    <w:p>
      <w:pPr>
        <w:pStyle w:val="Textkrper"/>
      </w:pPr>
      <w:r>
        <w:t xml:space="preserve">The Euler diagram in Figure</w:t>
      </w:r>
      <w:r>
        <w:t xml:space="preserve"> </w:t>
      </w:r>
      <w:r>
        <w:t xml:space="preserve">??</w:t>
      </w:r>
      <w:r>
        <w:t xml:space="preserve"> </w:t>
      </w:r>
      <w:r>
        <w:t xml:space="preserve">shows categories of nouns as solid, count noun, and shape-characterized using the 80% cutoff. The diagram shows that a large number of nouns were consistently rated as solid and count nouns, with large overlap between these two dimensions. However, at most 6 nouns per language were rated as referring to objects organized by shape. For comparison,</w:t>
      </w:r>
      <w:r>
        <w:t xml:space="preserve"> </w:t>
      </w:r>
      <w:r>
        <w:t xml:space="preserve">Samuelson and Smith (1999)</w:t>
      </w:r>
      <w:r>
        <w:t xml:space="preserve"> </w:t>
      </w:r>
      <w:r>
        <w:t xml:space="preserve">classified 150 of their 312 nouns (48%) as naming shape-organized categories under their 85% agreement criterion, with 110 nouns in the intersection of solid, count, and shape.</w:t>
      </w:r>
    </w:p>
    <w:p>
      <w:pPr>
        <w:pStyle w:val="Textkrper"/>
      </w:pPr>
      <w:r>
        <w:t xml:space="preserve">The permutation test for distributional differences results showed that each set of nouns fell within the null distribution, indicating no significant differences in lexical statistics across languages as rated by English speakers (Figure</w:t>
      </w:r>
      <w:r>
        <w:t xml:space="preserve"> </w:t>
      </w:r>
      <w:r>
        <w:t xml:space="preserve">).</w:t>
      </w:r>
    </w:p>
    <w:bookmarkEnd w:id="39"/>
    <w:bookmarkStart w:id="45" w:name="retest-ratings-for-lexical-properties"/>
    <w:p>
      <w:pPr>
        <w:pStyle w:val="berschrift2"/>
      </w:pPr>
      <w:r>
        <w:t xml:space="preserve">Retest ratings for lexical properties</w:t>
      </w:r>
    </w:p>
    <w:p>
      <w:pPr>
        <w:pStyle w:val="FirstParagraph"/>
      </w:pPr>
      <w:r>
        <w:t xml:space="preserve">One concern is measurement reliability rather than cross-linguistic patterning. The notion of an</w:t>
      </w:r>
      <w:r>
        <w:t xml:space="preserve"> </w:t>
      </w:r>
      <w:r>
        <w:t xml:space="preserve">“organizing feature”</w:t>
      </w:r>
      <w:r>
        <w:t xml:space="preserve"> </w:t>
      </w:r>
      <w:r>
        <w:t xml:space="preserve">is not one that adults routinely articulate, and our initial instructions were minimal. The low shape-based choices, large standard deviation, and weak shape–solidity correlation could partly reflect measurement error. We address this by re-running the category-organizing-feature block with refined instructions. The idea of the organizing feature of an object category is not an intuitive one, and is not something that people actively think about when recognizing category members i.e. when they are searching for apples, they don’t break down the category into features of apple shape, red color, and leaf material and then decide which feature is the most diagnosing of apples. It is possible that the instructions were not clear enough for participants to understand what was being asked. To test the reliability of this measure, we collected a second sample of ratings on the same set of words, with improved instructions and examples.</w:t>
      </w:r>
    </w:p>
    <w:bookmarkStart w:id="43" w:name="methods-1"/>
    <w:p>
      <w:pPr>
        <w:pStyle w:val="berschrift3"/>
      </w:pPr>
      <w:r>
        <w:t xml:space="preserve">Methods.</w:t>
      </w:r>
    </w:p>
    <w:bookmarkStart w:id="40" w:name="participants-1"/>
    <w:p>
      <w:pPr>
        <w:pStyle w:val="berschrift4"/>
      </w:pPr>
      <w:r>
        <w:t xml:space="preserve">Participants.</w:t>
      </w:r>
    </w:p>
    <w:p>
      <w:pPr>
        <w:pStyle w:val="FirstParagraph"/>
      </w:pPr>
      <w:r>
        <w:t xml:space="preserve">371 English-speaking adults recruited online from the Prolific platform rated words on the category-organizing feature.</w:t>
      </w:r>
    </w:p>
    <w:bookmarkEnd w:id="40"/>
    <w:bookmarkStart w:id="41" w:name="materials-1"/>
    <w:p>
      <w:pPr>
        <w:pStyle w:val="berschrift4"/>
      </w:pPr>
      <w:r>
        <w:t xml:space="preserve">Materials.</w:t>
      </w:r>
    </w:p>
    <w:p>
      <w:pPr>
        <w:pStyle w:val="FirstParagraph"/>
      </w:pPr>
      <w:r>
        <w:t xml:space="preserve">Only the category-organizing feature block was included in this retest, since it showed the most between subject variability. The retest word list was generated separately with 40 of the 664 Study 1 nouns missing. So the retest analyses cover the 624 nouns present in both samples (each participant rated a randomized 20-noun subset of the list, plus practice and check items). The absent nouns did not differ detectably from the covered nouns in the initial shape ratings (0.27 vs. 0.30, Welch</w:t>
      </w:r>
      <w:r>
        <w:t xml:space="preserve"> </w:t>
      </w:r>
      <m:oMath>
        <m:r>
          <m:t>p</m:t>
        </m:r>
      </m:oMath>
      <w:r>
        <w:t xml:space="preserve"> </w:t>
      </w:r>
      <w:r>
        <w:t xml:space="preserve">= .252); wherever later analyses average the two samples, these nouns carry their initial-sample value alone (Study 4).</w:t>
      </w:r>
    </w:p>
    <w:bookmarkEnd w:id="41"/>
    <w:bookmarkStart w:id="42" w:name="procedure-1"/>
    <w:p>
      <w:pPr>
        <w:pStyle w:val="berschrift4"/>
      </w:pPr>
      <w:r>
        <w:t xml:space="preserve">Procedure.</w:t>
      </w:r>
    </w:p>
    <w:p>
      <w:pPr>
        <w:pStyle w:val="FirstParagraph"/>
      </w:pPr>
      <w:r>
        <w:t xml:space="preserve">The experiment started with familiarization trials of what a category-organizing or characterizing feature means. However, this time the instructions were improved with more examples, adding picture depictions, training questions with feedback and clarifications. Examples involved answers that correspond to all 4 answer options</w:t>
      </w:r>
      <w:r>
        <w:t xml:space="preserve"> </w:t>
      </w:r>
      <w:r>
        <w:t xml:space="preserve">“shape, material, color, none of these”</w:t>
      </w:r>
      <w:r>
        <w:t xml:space="preserve"> </w:t>
      </w:r>
      <w:r>
        <w:t xml:space="preserve">so not to bias subjects into a specific answer, using examples like</w:t>
      </w:r>
      <w:r>
        <w:t xml:space="preserve"> </w:t>
      </w:r>
      <w:r>
        <w:t xml:space="preserve">“Pottery, red traffic light, happiness, and ball”</w:t>
      </w:r>
      <w:r>
        <w:t xml:space="preserve">. The rest of the study was similar to Study 1. Browser-ready experiment files in the shared files</w:t>
      </w:r>
    </w:p>
    <w:bookmarkEnd w:id="42"/>
    <w:bookmarkEnd w:id="43"/>
    <w:bookmarkStart w:id="44" w:name="results-1"/>
    <w:p>
      <w:pPr>
        <w:pStyle w:val="berschrift3"/>
      </w:pPr>
      <w:r>
        <w:t xml:space="preserve">Results.</w:t>
      </w:r>
    </w:p>
    <w:p>
      <w:pPr>
        <w:pStyle w:val="FirstParagraph"/>
      </w:pPr>
      <w:r>
        <w:t xml:space="preserve">The overall distribution of shape-based categorization responses did not significantly differ from the initial sample and shows a general group-level agreement. Mixed-effects modeling showed that ratings in the retest were slightly but significantly lower than in the initial sample (</w:t>
      </w:r>
      <m:oMath>
        <m:r>
          <m:t>B</m:t>
        </m:r>
      </m:oMath>
      <w:r>
        <w:t xml:space="preserve"> </w:t>
      </w:r>
      <w:r>
        <w:t xml:space="preserve">= -0.04,</w:t>
      </w:r>
      <w:r>
        <w:t xml:space="preserve"> </w:t>
      </w:r>
      <m:oMath>
        <m:r>
          <m:t>p</m:t>
        </m:r>
      </m:oMath>
      <w:r>
        <w:t xml:space="preserve"> </w:t>
      </w:r>
      <w:r>
        <w:t xml:space="preserve">&lt; .001), suggesting that more scaffolding and instructions led to more conservative shape ratings (Figure</w:t>
      </w:r>
      <w:r>
        <w:t xml:space="preserve"> </w:t>
      </w:r>
      <w:r>
        <w:t xml:space="preserve">??</w:t>
      </w:r>
      <w:r>
        <w:t xml:space="preserve">).</w:t>
      </w:r>
    </w:p>
    <w:p>
      <w:pPr>
        <w:pStyle w:val="Textkrper"/>
      </w:pPr>
      <w:r>
        <w:t xml:space="preserve">Paired comparisons of the shape ratings at the word level showed a raw correlation of</w:t>
      </w:r>
      <w:r>
        <w:t xml:space="preserve"> </w:t>
      </w:r>
      <m:oMath>
        <m:r>
          <m:t>r</m:t>
        </m:r>
      </m:oMath>
      <w:r>
        <w:t xml:space="preserve"> </w:t>
      </w:r>
      <w:r>
        <w:t xml:space="preserve">= 0.65 and a Spearman–Brown predicted reliability of 0.79 for the two-sample average (Figure</w:t>
      </w:r>
      <w:r>
        <w:t xml:space="preserve"> </w:t>
      </w:r>
      <w:r>
        <w:t xml:space="preserve">??</w:t>
      </w:r>
      <w:r>
        <w:t xml:space="preserve">).</w:t>
      </w:r>
      <w:r>
        <w:t xml:space="preserve"> </w:t>
      </w:r>
      <w:r>
        <w:t xml:space="preserve">Some household items received more differentiated shape-based ratings than we expected: although one might think all</w:t>
      </w:r>
      <w:r>
        <w:t xml:space="preserve"> </w:t>
      </w:r>
      <w:r>
        <w:t xml:space="preserve">“knives”</w:t>
      </w:r>
      <w:r>
        <w:t xml:space="preserve"> </w:t>
      </w:r>
      <w:r>
        <w:t xml:space="preserve">share a shape, raters may have considered the different types of knives (e.g., butter knife, pocket knife, chef’s knife) when rating the organizing feature.</w:t>
      </w:r>
    </w:p>
    <w:bookmarkEnd w:id="44"/>
    <w:bookmarkEnd w:id="45"/>
    <w:bookmarkStart w:id="46" w:name="discussion"/>
    <w:p>
      <w:pPr>
        <w:pStyle w:val="berschrift2"/>
      </w:pPr>
      <w:r>
        <w:t xml:space="preserve">Discussion</w:t>
      </w:r>
    </w:p>
    <w:p>
      <w:pPr>
        <w:pStyle w:val="FirstParagraph"/>
      </w:pPr>
      <w:r>
        <w:t xml:space="preserve">In two samples, we found that the lexical statistics were homogeneous across the 16 languages we sampled. Two interpretations of this cross-linguistic null are available, and the design of Study 1 cannot distinguish them. On a strong reading, the lexical statistics of early lexicons everywhere are dominated by solid, count nouns with a lower degree of shape coherence, and the cross-linguistic variation in the child shape bias is therefore not a downstream consequence of cross-linguistic variation in lexical statistics. On a weaker reading, the Study 1 design is by construction insensitive to such variation, because rater language is held constant and any conceptual differences between language communities are projected onto a single English judgment. Study 2 is designed to distinguish them by replicating the rating task with Korean-speaking adults rating Korean CDI items.</w:t>
      </w:r>
      <w:r>
        <w:t xml:space="preserve"> </w:t>
      </w:r>
      <w:r>
        <w:t xml:space="preserve">Given the reasonable reliability of the organizing-feature measure across the two samples and the strong word-level correlation, we use the mean shape ratings (averaged across the initial and retest samples) in subsequent analyses, and conduct sensitivity analyses that exclude words with the largest between-study differences. Recomputing the conditional analysis on this averaged measure leaves it essentially unchanged: among the 244 nouns meeting the 80% solidity and count criteria, mean shape is 0.37 and 0.80% meet the 80% shape criterion.</w:t>
      </w:r>
    </w:p>
    <w:bookmarkEnd w:id="46"/>
    <w:bookmarkEnd w:id="47"/>
    <w:bookmarkStart w:id="55" w:name="X02b662c34b336a45f8f81a750788853f5ad12e6"/>
    <w:p>
      <w:pPr>
        <w:pStyle w:val="berschrift1"/>
      </w:pPr>
      <w:r>
        <w:t xml:space="preserve">Study 2: Rating lexical statistics in Korean</w:t>
      </w:r>
    </w:p>
    <w:p>
      <w:pPr>
        <w:pStyle w:val="FirstParagraph"/>
      </w:pPr>
      <w:r>
        <w:t xml:space="preserve">We next assess whether similar patterns would emerge in speakers of typologically different languages. Korean, with its distinct morphological and syntactic structures, offered a test case for the cross-linguistic generalizability of the shape-based categorization tendencies observed in English speakers. Korean was also chosen because previous research has reported a weaker shape bias among Korean-speaking children, as in children learning some other East Asian languages. If the distributional account of the shape bias is correct, we would expect to find a lower proportion of nouns rated as organized by shape in Korean compared to English, along with weaker correlations between shape-based categorization and the other dimensions.</w:t>
      </w:r>
      <w:r>
        <w:t xml:space="preserve"> </w:t>
      </w:r>
      <w:r>
        <w:t xml:space="preserve">We first report a Korean sample collected with the same single forced choice and randomized presentation used in Study 1. This sample provides the primary comparison with the English ratings. We then compare it with a reanalysis of an existing in-country dataset collected using a different procedure.</w:t>
      </w:r>
    </w:p>
    <w:bookmarkStart w:id="51" w:name="methods-2"/>
    <w:p>
      <w:pPr>
        <w:pStyle w:val="berschrift3"/>
      </w:pPr>
      <w:r>
        <w:t xml:space="preserve">Methods.</w:t>
      </w:r>
    </w:p>
    <w:bookmarkStart w:id="48" w:name="participants-2"/>
    <w:p>
      <w:pPr>
        <w:pStyle w:val="berschrift4"/>
      </w:pPr>
      <w:r>
        <w:t xml:space="preserve">Participants.</w:t>
      </w:r>
    </w:p>
    <w:p>
      <w:pPr>
        <w:pStyle w:val="FirstParagraph"/>
      </w:pPr>
      <w:r>
        <w:t xml:space="preserve">A total of 89 Korean-speaking adults were recruited online from the Prolific platform (mean age = 35.20, SD = 9.80).</w:t>
      </w:r>
    </w:p>
    <w:bookmarkEnd w:id="48"/>
    <w:bookmarkStart w:id="49" w:name="material"/>
    <w:p>
      <w:pPr>
        <w:pStyle w:val="berschrift4"/>
      </w:pPr>
      <w:r>
        <w:t xml:space="preserve">Material.</w:t>
      </w:r>
    </w:p>
    <w:p>
      <w:pPr>
        <w:pStyle w:val="FirstParagraph"/>
      </w:pPr>
      <w:r>
        <w:t xml:space="preserve">We used the same subset of Korean CDI words as in Study 1, but presented the Korean nouns rather than the unilemmas.</w:t>
      </w:r>
    </w:p>
    <w:bookmarkEnd w:id="49"/>
    <w:bookmarkStart w:id="50" w:name="procedure-2"/>
    <w:p>
      <w:pPr>
        <w:pStyle w:val="berschrift4"/>
      </w:pPr>
      <w:r>
        <w:t xml:space="preserve">Procedure.</w:t>
      </w:r>
    </w:p>
    <w:p>
      <w:pPr>
        <w:pStyle w:val="FirstParagraph"/>
      </w:pPr>
      <w:r>
        <w:t xml:space="preserve">The category-organizing block used the improved instructions from the Study 1 retest, translated to Korean by a native speaker and validated by other native speakers who were blinded to the purpose of the study and its theoretical background. Participants made a single forced choice on every trial, rated a randomized subset of 20 nouns per block, and received no semantic-category information.</w:t>
      </w:r>
    </w:p>
    <w:bookmarkEnd w:id="50"/>
    <w:bookmarkEnd w:id="51"/>
    <w:bookmarkStart w:id="52" w:name="results-and-discussion"/>
    <w:p>
      <w:pPr>
        <w:pStyle w:val="berschrift3"/>
      </w:pPr>
      <w:r>
        <w:t xml:space="preserve">Results and discussion.</w:t>
      </w:r>
    </w:p>
    <w:p>
      <w:pPr>
        <w:pStyle w:val="FirstParagraph"/>
      </w:pPr>
      <w:r>
        <w:t xml:space="preserve">We collected 4,676 ratings across 89 participants for 247 nouns in three blocks (solidity, count-mass syntax, and category-organizing feature), after dropping practice, attention-check, and no recorded response trials. Nouns received an average of 6.33 ratings per block.</w:t>
      </w:r>
    </w:p>
    <w:p>
      <w:pPr>
        <w:pStyle w:val="Textkrper"/>
      </w:pPr>
      <w:r>
        <w:t xml:space="preserve">Overall, nouns were predominantly rated as solid (M = 0.85, SD = 0.19) and countable (M = 0.89, SD = 0.20), but were less reliably judged as being organized by shape (M = 0.42, SD = 0.29). Korean adult ratings were therefore comparable to English raters on solidity and countability, but higher in shape.</w:t>
      </w:r>
      <w:r>
        <w:t xml:space="preserve"> </w:t>
      </w:r>
      <w:r>
        <w:t xml:space="preserve">Pearson correlation analysis revealed a moderate positive correlation between solidity and count syntax (</w:t>
      </w:r>
      <m:oMath>
        <m:r>
          <m:t>r</m:t>
        </m:r>
      </m:oMath>
      <w:r>
        <w:t xml:space="preserve"> </w:t>
      </w:r>
      <w:r>
        <w:t xml:space="preserve">= 0.51,</w:t>
      </w:r>
      <w:r>
        <w:t xml:space="preserve"> </w:t>
      </w:r>
      <m:oMath>
        <m:r>
          <m:t>p</m:t>
        </m:r>
      </m:oMath>
      <w:r>
        <w:t xml:space="preserve"> </w:t>
      </w:r>
      <w:r>
        <w:t xml:space="preserve">&lt; .001), a weak positive correlation between count syntax and shape-based categorization (</w:t>
      </w:r>
      <m:oMath>
        <m:r>
          <m:t>r</m:t>
        </m:r>
      </m:oMath>
      <w:r>
        <w:t xml:space="preserve"> </w:t>
      </w:r>
      <w:r>
        <w:t xml:space="preserve">= 0.31,</w:t>
      </w:r>
      <w:r>
        <w:t xml:space="preserve"> </w:t>
      </w:r>
      <m:oMath>
        <m:r>
          <m:t>p</m:t>
        </m:r>
      </m:oMath>
      <w:r>
        <w:t xml:space="preserve"> </w:t>
      </w:r>
      <w:r>
        <w:t xml:space="preserve">&lt; .001), and a weak positive correlation between solidity and shape-based categorization (</w:t>
      </w:r>
      <m:oMath>
        <m:r>
          <m:t>r</m:t>
        </m:r>
      </m:oMath>
      <w:r>
        <w:t xml:space="preserve"> </w:t>
      </w:r>
      <w:r>
        <w:t xml:space="preserve">= 0.30,</w:t>
      </w:r>
      <w:r>
        <w:t xml:space="preserve"> </w:t>
      </w:r>
      <m:oMath>
        <m:r>
          <m:t>p</m:t>
        </m:r>
      </m:oMath>
      <w:r>
        <w:t xml:space="preserve"> </w:t>
      </w:r>
      <w:r>
        <w:t xml:space="preserve">&lt; .001).</w:t>
      </w:r>
      <w:r>
        <w:t xml:space="preserve"> </w:t>
      </w:r>
      <w:r>
        <w:t xml:space="preserve">The Euler diagram in Figure</w:t>
      </w:r>
      <w:r>
        <w:t xml:space="preserve"> </w:t>
      </w:r>
      <w:r>
        <w:t xml:space="preserve">??</w:t>
      </w:r>
      <w:r>
        <w:t xml:space="preserve"> </w:t>
      </w:r>
      <w:r>
        <w:t xml:space="preserve">shows categories of nouns as solid, count noun, and shape-characterized using the cutoff of 80%. A larger number of nouns were categorized as shape-based in Korean compared to English.</w:t>
      </w:r>
      <w:r>
        <w:t xml:space="preserve"> </w:t>
      </w:r>
      <w:r>
        <w:t xml:space="preserve">A binomial mixed-effects model of the per-item counts of shape choices, with rater language as a fixed effect and a random intercept for item, showed the same contrast (odds ratio = 1.71, 95% CI [1.48, 1.97],</w:t>
      </w:r>
      <w:r>
        <w:t xml:space="preserve"> </w:t>
      </w:r>
      <m:oMath>
        <m:r>
          <m:t>p</m:t>
        </m:r>
      </m:oMath>
      <w:r>
        <w:t xml:space="preserve"> </w:t>
      </w:r>
      <w:r>
        <w:t xml:space="preserve">&lt; .001). 239 of the 245 shared items map a single Korean CDI item to a single unilemma in both datasets, so the contrast is not an artifact of translation granularity and restricting the comparison to that subset left the difference unchanged (0.10, bootstrap 95% CI [0.06, 0.13]).</w:t>
      </w:r>
    </w:p>
    <w:p>
      <w:pPr>
        <w:pStyle w:val="Textkrper"/>
      </w:pPr>
      <w:r>
        <w:t xml:space="preserve">Korean raters in this sample chose the not-applicable option far less often than English raters in Study 1 did none of these (15% vs. 30% of organizing-feature trials), and the difference was distributed over both shape (43% vs. 32% of responses) and material (40% vs. 34%), with rare color in both groups (2% and 4%). The difference therefore also reflects a greater Korean willingness to commit to a single organizing feature, so the two rater groups differ in how much feature-based structure they attribute to the same items, not merely in response style.</w:t>
      </w:r>
    </w:p>
    <w:bookmarkEnd w:id="52"/>
    <w:bookmarkStart w:id="54" w:name="reanalysis-of-an-in-country-sample"/>
    <w:p>
      <w:pPr>
        <w:pStyle w:val="berschrift2"/>
      </w:pPr>
      <w:r>
        <w:t xml:space="preserve">Reanalysis of an in-country sample</w:t>
      </w:r>
    </w:p>
    <w:p>
      <w:pPr>
        <w:pStyle w:val="FirstParagraph"/>
      </w:pPr>
      <w:r>
        <w:t xml:space="preserve">We also reanalyzed an existing dataset collected by Jongmin et al. (manuscript in preparation) with Korean speakers at Chosun University. The dataset included 29 Korean-speaking adults recruited through a local platform in South Korea (mean age = 31.38, SD = 11.79).</w:t>
      </w:r>
      <w:r>
        <w:t xml:space="preserve"> </w:t>
      </w:r>
      <w:r>
        <w:t xml:space="preserve">The procedure for the category-organizing block followed</w:t>
      </w:r>
      <w:r>
        <w:t xml:space="preserve"> </w:t>
      </w:r>
      <w:r>
        <w:t xml:space="preserve">Samuelson and Smith (1999)</w:t>
      </w:r>
      <w:r>
        <w:t xml:space="preserve"> </w:t>
      </w:r>
      <w:r>
        <w:t xml:space="preserve">and so differed from Study 1 and the procedure-matched Korean sample in more than the raters’ language. First, participants rated the full word list within each block, and the blocks appeared in a fixed order (solidity, then countable/uncountable, then category-organizing feature) rather than in a randomized order with word subsets. The countability judgment was semantic rather than syntactic. Second, in the category-organizing block, participants could select multiple organizing features (shape, color, material, not applicable) per item. Third, items in that block were grouped by semantic category (e.g., fruits, vehicles, furniture) rather than randomly intermixed. These procedural differences matter for interpreting the absolute level of the shape ratings, and we return to them in Study 3.</w:t>
      </w:r>
    </w:p>
    <w:p>
      <w:pPr>
        <w:pStyle w:val="Textkrper"/>
      </w:pPr>
      <w:r>
        <w:t xml:space="preserve">To compare the multiple-selection responses in this dataset to the single-selection responses, we adopted a strict coding: an item is treated as having</w:t>
      </w:r>
      <w:r>
        <w:t xml:space="preserve"> </w:t>
      </w:r>
      <w:r>
        <w:t xml:space="preserve">“shape”</w:t>
      </w:r>
      <w:r>
        <w:t xml:space="preserve"> </w:t>
      </w:r>
      <w:r>
        <w:t xml:space="preserve">as its organizing feature only when shape was the sole feature selected on that trial. Responses where shape was selected alongside another feature (e.g.,</w:t>
      </w:r>
      <w:r>
        <w:t xml:space="preserve"> </w:t>
      </w:r>
      <w:r>
        <w:t xml:space="preserve">“shape and material”</w:t>
      </w:r>
      <w:r>
        <w:t xml:space="preserve">) were retained in the dataset but classified as</w:t>
      </w:r>
      <w:r>
        <w:t xml:space="preserve"> </w:t>
      </w:r>
      <w:r>
        <w:t xml:space="preserve">“multiple”</w:t>
      </w:r>
      <w:r>
        <w:t xml:space="preserve">. Below we report the strict-coding results in the main text and a sensitivity analysis using the broader coding (</w:t>
      </w:r>
      <w:r>
        <w:t xml:space="preserve">“shape selected, alone or alongside another feature”</w:t>
      </w:r>
      <w:r>
        <w:t xml:space="preserve">) to quantify how much the coding decision matters.</w:t>
      </w:r>
    </w:p>
    <w:bookmarkStart w:id="53" w:name="results-and-discussion-1"/>
    <w:p>
      <w:pPr>
        <w:pStyle w:val="berschrift3"/>
      </w:pPr>
      <w:r>
        <w:t xml:space="preserve">Results and discussion.</w:t>
      </w:r>
    </w:p>
    <w:p>
      <w:pPr>
        <w:pStyle w:val="FirstParagraph"/>
      </w:pPr>
      <w:r>
        <w:t xml:space="preserve">Across participants, nouns were predominantly rated as solid (M = 0.74, SD = 0.21) and countable (M = 0.88, SD = 0.21), consistent with the English samples. Shape ratings showed a different pattern. Under the strict coding, the mean shape proportion was M = 0.59 (SD = 0.16), higher than the English estimates for the same Korean-CDI items as rated by English speakers (M = 0.33, SD = 0.23).</w:t>
      </w:r>
    </w:p>
    <w:p>
      <w:pPr>
        <w:pStyle w:val="Textkrper"/>
      </w:pPr>
      <w:r>
        <w:t xml:space="preserve">Of the 7,004 category-organizing-feature trials in this dataset, approximately 4,205 were</w:t>
      </w:r>
      <w:r>
        <w:t xml:space="preserve"> </w:t>
      </w:r>
      <w:r>
        <w:t xml:space="preserve">“shape only”</w:t>
      </w:r>
      <w:r>
        <w:t xml:space="preserve"> </w:t>
      </w:r>
      <w:r>
        <w:t xml:space="preserve">responses and 2,093 selected shape alongside at least one other feature. Under the strict coding used in the main analysis, the mean shape proportion was 0.59 (SD = 0.16); under the broader coding the mean shape proportion rose to 0.90 (SD = 0.17). Under either coding, however, the Korean ratings are higher than the English ratings of the same items.</w:t>
      </w:r>
    </w:p>
    <w:p>
      <w:pPr>
        <w:pStyle w:val="Textkrper"/>
      </w:pPr>
      <w:r>
        <w:t xml:space="preserve">A mixed-effects model comparing this dataset with our online Korean sample showed that shape ratings in the latter were lower (</w:t>
      </w:r>
      <m:oMath>
        <m:r>
          <m:t>B</m:t>
        </m:r>
      </m:oMath>
      <w:r>
        <w:t xml:space="preserve"> </w:t>
      </w:r>
      <w:r>
        <w:t xml:space="preserve">= -0.16,</w:t>
      </w:r>
      <w:r>
        <w:t xml:space="preserve"> </w:t>
      </w:r>
      <m:oMath>
        <m:r>
          <m:t>p</m:t>
        </m:r>
      </m:oMath>
      <w:r>
        <w:t xml:space="preserve"> </w:t>
      </w:r>
      <w:r>
        <w:t xml:space="preserve">&lt; .001). This pattern is consistent with part of the Korean higher shape rating being produced by procedure (multiple selection, semantic grouping, fixed presentation) and part reflecting a rater-language difference that survives full procedure matching. Figure</w:t>
      </w:r>
      <w:r>
        <w:t xml:space="preserve"> </w:t>
      </w:r>
      <w:r>
        <w:t xml:space="preserve">??</w:t>
      </w:r>
      <w:r>
        <w:t xml:space="preserve"> </w:t>
      </w:r>
      <w:r>
        <w:t xml:space="preserve">shows the word-level distributions for all four rating datasets.</w:t>
      </w:r>
      <w:r>
        <w:t xml:space="preserve"> </w:t>
      </w:r>
      <w:r>
        <w:t xml:space="preserve">Item-level shape proportions show a correlation of</w:t>
      </w:r>
      <w:r>
        <w:t xml:space="preserve"> </w:t>
      </w:r>
      <m:oMath>
        <m:r>
          <m:t>r</m:t>
        </m:r>
      </m:oMath>
      <w:r>
        <w:t xml:space="preserve"> </w:t>
      </w:r>
      <w:r>
        <w:t xml:space="preserve">= 0.68 with Spearman–Brown correction. The two Korean datasets largely agree on which nouns are more shape-organized than others (rank-order consistency), even though their absolute levels differ in the direction just described. Item-level means across English and procedure-matched Korean correlated at</w:t>
      </w:r>
      <w:r>
        <w:t xml:space="preserve"> </w:t>
      </w:r>
      <m:oMath>
        <m:r>
          <m:t>r</m:t>
        </m:r>
      </m:oMath>
      <w:r>
        <w:t xml:space="preserve"> </w:t>
      </w:r>
      <w:r>
        <w:t xml:space="preserve">= 0.44 for shape (</w:t>
      </w:r>
      <m:oMath>
        <m:r>
          <m:t>N</m:t>
        </m:r>
      </m:oMath>
      <w:r>
        <w:t xml:space="preserve"> </w:t>
      </w:r>
      <w:r>
        <w:t xml:space="preserve">= 215 items with complete pairs);</w:t>
      </w:r>
      <w:r>
        <w:t xml:space="preserve"> </w:t>
      </w:r>
      <m:oMath>
        <m:r>
          <m:t>r</m:t>
        </m:r>
      </m:oMath>
      <w:r>
        <w:t xml:space="preserve"> </w:t>
      </w:r>
      <w:r>
        <w:t xml:space="preserve">= 0.51 for solidity and</w:t>
      </w:r>
      <w:r>
        <w:t xml:space="preserve"> </w:t>
      </w:r>
      <m:oMath>
        <m:r>
          <m:t>r</m:t>
        </m:r>
      </m:oMath>
      <w:r>
        <w:t xml:space="preserve"> </w:t>
      </w:r>
      <w:r>
        <w:t xml:space="preserve">= 0.64 for countability.</w:t>
      </w:r>
    </w:p>
    <w:bookmarkEnd w:id="53"/>
    <w:bookmarkEnd w:id="54"/>
    <w:bookmarkEnd w:id="55"/>
    <w:bookmarkStart w:id="62" w:name="X9e2f188ca6c55b4a77dd8fab9886c15476c46b6"/>
    <w:p>
      <w:pPr>
        <w:pStyle w:val="berschrift1"/>
      </w:pPr>
      <w:r>
        <w:t xml:space="preserve">Study 3: Procedural determinants of shape ratings</w:t>
      </w:r>
    </w:p>
    <w:p>
      <w:pPr>
        <w:pStyle w:val="FirstParagraph"/>
      </w:pPr>
      <w:r>
        <w:t xml:space="preserve">Both</w:t>
      </w:r>
      <w:r>
        <w:t xml:space="preserve"> </w:t>
      </w:r>
      <w:r>
        <w:t xml:space="preserve">Samuelson and Smith (1999)</w:t>
      </w:r>
      <w:r>
        <w:t xml:space="preserve"> </w:t>
      </w:r>
      <w:r>
        <w:t xml:space="preserve">and the Korean in-country reanalysis leaves a methodological question open: raters could select multiple organizing features, and words were grouped by semantic category, so the high shape ratings may be partially a product of procedural choices. Study 3 therefore asks which procedural factors move shape ratings when language is held constant.</w:t>
      </w:r>
    </w:p>
    <w:bookmarkStart w:id="56" w:name="X18438173364cc74617473c9f79b9326a91e3b3e"/>
    <w:p>
      <w:pPr>
        <w:pStyle w:val="berschrift2"/>
      </w:pPr>
      <w:r>
        <w:t xml:space="preserve">The multiple-selection format with random order</w:t>
      </w:r>
    </w:p>
    <w:p>
      <w:pPr>
        <w:pStyle w:val="FirstParagraph"/>
      </w:pPr>
      <w:r>
        <w:t xml:space="preserve">We first collected an English speaking sample (157 adults on Prolific who passed the attention check) that rated the same nouns on the organizing-feature block but recovered the original multiple-selection format, in which raters could endorse any combination of shape, color, material, or none of these. Word order remained fully randomized, so this sample changed only the response format. Raters seldom selected more than one feature on 9.3% of trials (mean 1.12 selections per trial). On the 661 nouns shared with Study 1, a broad coded shape count gave a mean shape proportion of 0.33, barely above the single-forced-choice estimate for the same nouns (0.27; the Study 1 two-sample average); coding shape only when it was selected alone gave 0.25.</w:t>
      </w:r>
    </w:p>
    <w:bookmarkEnd w:id="56"/>
    <w:bookmarkStart w:id="57" w:name="adding-semantic-grouping"/>
    <w:p>
      <w:pPr>
        <w:pStyle w:val="berschrift2"/>
      </w:pPr>
      <w:r>
        <w:t xml:space="preserve">Adding semantic grouping</w:t>
      </w:r>
    </w:p>
    <w:p>
      <w:pPr>
        <w:pStyle w:val="FirstParagraph"/>
      </w:pPr>
      <w:r>
        <w:t xml:space="preserve">A second English sample (70 adults passing the same attention check) completed the same multiple-selection task with the words grouped by semantic category: all members of one category (e.g., fruits) appeared in sequence before the next category began, and participants were told which category they were about to rate. Grouping changed behavior substantially. Raters selected more than one feature on 41.5% of trials (mean 1.53 selections per trial, against 9.3% and 1.12 with random order), and broad-coded shape rose to 0.57 while strict-coded shape stayed at 0.22 (a median of 2 raters per noun, so we treat these as sample-level descriptives). Because these two samples were collected separately rather than assigned at random, we treated this contrast as preliminary and ran a randomized experiment crossing the two factors.</w:t>
      </w:r>
    </w:p>
    <w:bookmarkEnd w:id="57"/>
    <w:bookmarkStart w:id="61" w:name="a-randomized-2-times-2-experiment"/>
    <w:p>
      <w:pPr>
        <w:pStyle w:val="berschrift2"/>
      </w:pPr>
      <w:r>
        <w:t xml:space="preserve">A randomized 2</w:t>
      </w:r>
      <w:r>
        <w:t xml:space="preserve"> </w:t>
      </w:r>
      <m:oMath>
        <m:r>
          <m:rPr>
            <m:sty m:val="p"/>
          </m:rPr>
          <m:t>×</m:t>
        </m:r>
      </m:oMath>
      <w:r>
        <w:t xml:space="preserve"> </w:t>
      </w:r>
      <w:r>
        <w:t xml:space="preserve">2 experiment</w:t>
      </w:r>
    </w:p>
    <w:bookmarkStart w:id="58" w:name="methods-3"/>
    <w:p>
      <w:pPr>
        <w:pStyle w:val="berschrift3"/>
      </w:pPr>
      <w:r>
        <w:t xml:space="preserve">Methods.</w:t>
      </w:r>
    </w:p>
    <w:p>
      <w:pPr>
        <w:pStyle w:val="FirstParagraph"/>
      </w:pPr>
      <w:r>
        <w:t xml:space="preserve">We ran a</w:t>
      </w:r>
      <w:r>
        <w:t xml:space="preserve"> </w:t>
      </w:r>
      <m:oMath>
        <m:r>
          <m:t>2</m:t>
        </m:r>
        <m:r>
          <m:rPr>
            <m:sty m:val="p"/>
          </m:rPr>
          <m:t>×</m:t>
        </m:r>
        <m:r>
          <m:t>2</m:t>
        </m:r>
      </m:oMath>
      <w:r>
        <w:t xml:space="preserve"> </w:t>
      </w:r>
      <w:r>
        <w:t xml:space="preserve">experiment with random assignment of response format (single forced choice FC vs. multiple selection MS) crossed with item order (random vs. grouped by semantic category). Of 544 English speaking participants, 483 trials retained after excluding participants who failed the attention check (</w:t>
      </w:r>
      <m:oMath>
        <m:r>
          <m:t>n</m:t>
        </m:r>
      </m:oMath>
      <w:r>
        <w:t xml:space="preserve"> </w:t>
      </w:r>
      <w:r>
        <w:t xml:space="preserve">= 58), responded implausibly fast (median response time under 1.5 s, or half or more of trials under 1 s;</w:t>
      </w:r>
      <w:r>
        <w:t xml:space="preserve"> </w:t>
      </w:r>
      <m:oMath>
        <m:r>
          <m:t>n</m:t>
        </m:r>
      </m:oMath>
      <w:r>
        <w:t xml:space="preserve"> </w:t>
      </w:r>
      <w:r>
        <w:t xml:space="preserve">= 3), or matched known invalid session identifiers (</w:t>
      </w:r>
      <m:oMath>
        <m:r>
          <m:t>n</m:t>
        </m:r>
      </m:oMath>
      <w:r>
        <w:t xml:space="preserve"> </w:t>
      </w:r>
      <w:r>
        <w:t xml:space="preserve">= 3; flags overlap); retained cell sizes appear in Table</w:t>
      </w:r>
      <w:r>
        <w:t xml:space="preserve"> </w:t>
      </w:r>
      <w:r>
        <w:t xml:space="preserve">??</w:t>
      </w:r>
      <w:r>
        <w:t xml:space="preserve">.</w:t>
      </w:r>
    </w:p>
    <w:bookmarkEnd w:id="58"/>
    <w:bookmarkStart w:id="59" w:name="results-2"/>
    <w:p>
      <w:pPr>
        <w:pStyle w:val="berschrift3"/>
      </w:pPr>
      <w:r>
        <w:t xml:space="preserve">Results.</w:t>
      </w:r>
    </w:p>
    <w:p>
      <w:pPr>
        <w:pStyle w:val="FirstParagraph"/>
      </w:pPr>
      <w:r>
        <w:t xml:space="preserve">On the broad outcome, MS (</w:t>
      </w:r>
      <m:oMath>
        <m:r>
          <m:t>b</m:t>
        </m:r>
      </m:oMath>
      <w:r>
        <w:t xml:space="preserve"> </w:t>
      </w:r>
      <w:r>
        <w:t xml:space="preserve">= 0.87,</w:t>
      </w:r>
      <w:r>
        <w:t xml:space="preserve"> </w:t>
      </w:r>
      <m:oMath>
        <m:r>
          <m:t>p</m:t>
        </m:r>
      </m:oMath>
      <w:r>
        <w:t xml:space="preserve"> </w:t>
      </w:r>
      <w:r>
        <w:t xml:space="preserve">&lt; .001) and semantic grouping (</w:t>
      </w:r>
      <m:oMath>
        <m:r>
          <m:t>b</m:t>
        </m:r>
      </m:oMath>
      <w:r>
        <w:t xml:space="preserve"> </w:t>
      </w:r>
      <w:r>
        <w:t xml:space="preserve">= 0.51,</w:t>
      </w:r>
      <w:r>
        <w:t xml:space="preserve"> </w:t>
      </w:r>
      <m:oMath>
        <m:r>
          <m:t>p</m:t>
        </m:r>
      </m:oMath>
      <w:r>
        <w:t xml:space="preserve"> </w:t>
      </w:r>
      <w:r>
        <w:t xml:space="preserve">= .004) each raised shape, with no interaction (</w:t>
      </w:r>
      <m:oMath>
        <m:r>
          <m:t>b</m:t>
        </m:r>
      </m:oMath>
      <w:r>
        <w:t xml:space="preserve"> </w:t>
      </w:r>
      <w:r>
        <w:t xml:space="preserve">= 0.09,</w:t>
      </w:r>
      <w:r>
        <w:t xml:space="preserve"> </w:t>
      </w:r>
      <m:oMath>
        <m:r>
          <m:t>p</m:t>
        </m:r>
      </m:oMath>
      <w:r>
        <w:t xml:space="preserve"> </w:t>
      </w:r>
      <w:r>
        <w:t xml:space="preserve">= .705). On the strict outcome, grouping raised shape under FC (</w:t>
      </w:r>
      <m:oMath>
        <m:r>
          <m:t>b</m:t>
        </m:r>
      </m:oMath>
      <w:r>
        <w:t xml:space="preserve"> </w:t>
      </w:r>
      <w:r>
        <w:t xml:space="preserve">= 0.49,</w:t>
      </w:r>
      <w:r>
        <w:t xml:space="preserve"> </w:t>
      </w:r>
      <m:oMath>
        <m:r>
          <m:t>p</m:t>
        </m:r>
      </m:oMath>
      <w:r>
        <w:t xml:space="preserve"> </w:t>
      </w:r>
      <w:r>
        <w:t xml:space="preserve">= .003; cell means 0.33 random vs. 0.41 grouped) and lowered it under MS (</w:t>
      </w:r>
      <m:oMath>
        <m:r>
          <m:t>b</m:t>
        </m:r>
      </m:oMath>
      <w:r>
        <w:t xml:space="preserve"> </w:t>
      </w:r>
      <w:r>
        <w:t xml:space="preserve">= -0.31,</w:t>
      </w:r>
      <w:r>
        <w:t xml:space="preserve"> </w:t>
      </w:r>
      <m:oMath>
        <m:r>
          <m:t>p</m:t>
        </m:r>
      </m:oMath>
      <w:r>
        <w:t xml:space="preserve"> </w:t>
      </w:r>
      <w:r>
        <w:t xml:space="preserve">= .039; cell means 0.29 random vs. 0.24 grouped), producing a format by grouping interaction (</w:t>
      </w:r>
      <m:oMath>
        <m:r>
          <m:t>b</m:t>
        </m:r>
      </m:oMath>
      <w:r>
        <w:t xml:space="preserve"> </w:t>
      </w:r>
      <w:r>
        <w:t xml:space="preserve">= -0.84,</w:t>
      </w:r>
      <w:r>
        <w:t xml:space="preserve"> </w:t>
      </w:r>
      <m:oMath>
        <m:r>
          <m:t>p</m:t>
        </m:r>
      </m:oMath>
      <w:r>
        <w:t xml:space="preserve"> </w:t>
      </w:r>
      <w:r>
        <w:t xml:space="preserve">&lt; .001).</w:t>
      </w:r>
      <w:r>
        <w:t xml:space="preserve"> </w:t>
      </w:r>
      <w:r>
        <w:t xml:space="preserve">Grouping nearly doubled the rate of co-selection generally (21% of random-order trials vs. 37% grouped;</w:t>
      </w:r>
      <w:r>
        <w:t xml:space="preserve"> </w:t>
      </w:r>
      <m:oMath>
        <m:r>
          <m:t>b</m:t>
        </m:r>
      </m:oMath>
      <w:r>
        <w:t xml:space="preserve"> </w:t>
      </w:r>
      <w:r>
        <w:t xml:space="preserve">= 1.15,</w:t>
      </w:r>
      <w:r>
        <w:t xml:space="preserve"> </w:t>
      </w:r>
      <m:oMath>
        <m:r>
          <m:t>p</m:t>
        </m:r>
      </m:oMath>
      <w:r>
        <w:t xml:space="preserve"> </w:t>
      </w:r>
      <w:r>
        <w:t xml:space="preserve">&lt; .001), also raising color (selection rate 0.19 random vs. 0.35 grouped) and material (0.36 vs. 0.40) alongside shape while the rate of</w:t>
      </w:r>
      <w:r>
        <w:t xml:space="preserve"> </w:t>
      </w:r>
      <w:r>
        <w:t xml:space="preserve">“none of these”</w:t>
      </w:r>
      <w:r>
        <w:t xml:space="preserve"> </w:t>
      </w:r>
      <w:r>
        <w:t xml:space="preserve">fell (0.23 vs. 0.17). Figure</w:t>
      </w:r>
      <w:r>
        <w:t xml:space="preserve"> </w:t>
      </w:r>
      <w:r>
        <w:t xml:space="preserve">??</w:t>
      </w:r>
      <w:r>
        <w:t xml:space="preserve"> </w:t>
      </w:r>
      <w:r>
        <w:t xml:space="preserve">shows that shape’s broad advantage in MS is inherited from its strict advantage not when it is always selected with other dimensions.</w:t>
      </w:r>
    </w:p>
    <w:p>
      <w:pPr>
        <w:pStyle w:val="Textkrper"/>
      </w:pPr>
      <w:r>
        <w:t xml:space="preserve">On 654 nouns rated in both the FC with random order condition and Study 1, the paired difference was 0.044 (95% CI [0.021, 0.067],</w:t>
      </w:r>
      <w:r>
        <w:t xml:space="preserve"> </w:t>
      </w:r>
      <m:oMath>
        <m:r>
          <m:t>p</m:t>
        </m:r>
      </m:oMath>
      <w:r>
        <w:t xml:space="preserve"> </w:t>
      </w:r>
      <w:r>
        <w:t xml:space="preserve">&lt; .001), with mean shape proportion of 0.33. MS with random order depended on coding: strict shape (0.29) was statistically equivalent to Study 1 within a</w:t>
      </w:r>
      <w:r>
        <w:t xml:space="preserve"> </w:t>
      </w:r>
      <m:oMath>
        <m:r>
          <m:rPr>
            <m:sty m:val="p"/>
          </m:rPr>
          <m:t>±</m:t>
        </m:r>
        <m:r>
          <m:t>0.05</m:t>
        </m:r>
      </m:oMath>
      <w:r>
        <w:t xml:space="preserve"> </w:t>
      </w:r>
      <w:r>
        <w:t xml:space="preserve">margin, i.e., five percentage points (TOST, larger one-sided</w:t>
      </w:r>
      <w:r>
        <w:t xml:space="preserve"> </w:t>
      </w:r>
      <m:oMath>
        <m:r>
          <m:t>p</m:t>
        </m:r>
      </m:oMath>
      <w:r>
        <w:t xml:space="preserve"> </w:t>
      </w:r>
      <w:r>
        <w:t xml:space="preserve">&lt; .001), whereas broad shape rose to 0.47.</w:t>
      </w:r>
    </w:p>
    <w:bookmarkEnd w:id="59"/>
    <w:bookmarkStart w:id="60" w:name="discussion-1"/>
    <w:p>
      <w:pPr>
        <w:pStyle w:val="berschrift3"/>
      </w:pPr>
      <w:r>
        <w:t xml:space="preserve">Discussion.</w:t>
      </w:r>
    </w:p>
    <w:p>
      <w:pPr>
        <w:pStyle w:val="FirstParagraph"/>
      </w:pPr>
      <w:r>
        <w:t xml:space="preserve">Coding proportions strictly or broadly have the largest effect with the response format by itself (MS, FC) doing little. Semantic grouping moves both the FC measure and nearly doubles co-selection under MS resulting in an estimate of shape dominance that partly reflects procedure rather than the structure of the early lexicon. Aggregating every English MS grouped sample (the blocked pilot and the</w:t>
      </w:r>
      <w:r>
        <w:t xml:space="preserve"> </w:t>
      </w:r>
      <m:oMath>
        <m:r>
          <m:t>2</m:t>
        </m:r>
        <m:r>
          <m:rPr>
            <m:sty m:val="p"/>
          </m:rPr>
          <m:t>×</m:t>
        </m:r>
        <m:r>
          <m:t>2</m:t>
        </m:r>
      </m:oMath>
      <w:r>
        <w:t xml:space="preserve"> </w:t>
      </w:r>
      <w:r>
        <w:t xml:space="preserve">grouped cell) yields the same mean broad shape (0.57) but still leaves only 29.30% of Study 1 nouns above an 80% broad-shape cutoff, compared with the previous 48% at 85% agreement (Supplement S7).</w:t>
      </w:r>
    </w:p>
    <w:p>
      <w:pPr>
        <w:pStyle w:val="Textkrper"/>
      </w:pPr>
      <w:r>
        <w:t xml:space="preserve">Why does semantic grouping inflate the ratings? The selection behavior suggests a change in how raters construe the question rather than a change in what they believe about the categories. Raters endorsed more of everything, not more shape in particular. Presenting members of the same semantic category in sequence invites comparison among them, and comparison makes shared properties more salient</w:t>
      </w:r>
      <w:r>
        <w:t xml:space="preserve"> </w:t>
      </w:r>
      <w:r>
        <w:t xml:space="preserve">(Gentner &amp; Markman, 1997; Namy &amp; Gentner, 2002)</w:t>
      </w:r>
      <w:r>
        <w:t xml:space="preserve">: when all the fruits arrive together, the rater’s implicit comparison class shifts from nouns in general to the neighboring members of one category, and locally recurring properties become easy to endorse. One could defend grouped presentation as ecologically natural, since words might occur in semantically coherent contexts, but the rating task is a metalinguistic judgment by adults, not a word-learning episode, and grouping appears to change the judgment itself rather than bring it closer to a child’s input; a word like</w:t>
      </w:r>
      <w:r>
        <w:t xml:space="preserve"> </w:t>
      </w:r>
      <w:r>
        <w:t xml:space="preserve">“apple”</w:t>
      </w:r>
      <w:r>
        <w:t xml:space="preserve"> </w:t>
      </w:r>
      <w:r>
        <w:t xml:space="preserve">is in any case encountered in diverse contexts, not only among other fruits</w:t>
      </w:r>
      <w:r>
        <w:t xml:space="preserve"> </w:t>
      </w:r>
      <w:r>
        <w:t xml:space="preserve">“your shirt has an apple on it”</w:t>
      </w:r>
      <w:r>
        <w:t xml:space="preserve">.</w:t>
      </w:r>
    </w:p>
    <w:p>
      <w:pPr>
        <w:pStyle w:val="Textkrper"/>
      </w:pPr>
      <w:r>
        <w:t xml:space="preserve">Children’s shape-bias tasks are FC extension tasks in which shape must win against a competing feature, so the adult statistic most comparable to the child data is the one produced under the same requirement to prioritize. We therefore use FC with random order (or its strict MS equivalent) as the standard for lexical-statistics claims throughout, and we use the strict coding for the in-country reanalysis wherever it enters later analyses.</w:t>
      </w:r>
    </w:p>
    <w:p>
      <w:pPr>
        <w:pStyle w:val="Textkrper"/>
      </w:pPr>
      <w:r>
        <w:t xml:space="preserve">Finally, procedure does not close the cross-linguistic gap. The highest English estimate in any cell, broad-coded shape under grouped MS (0.56), remains far below the in-country reanalysis under the matched broad coding (0.90) and does not exceed its strict coding (0.59); and the matched FC sample still shows Korean ratings above English ones, partly as the difference in commitment documented there.</w:t>
      </w:r>
    </w:p>
    <w:bookmarkEnd w:id="60"/>
    <w:bookmarkEnd w:id="61"/>
    <w:bookmarkEnd w:id="62"/>
    <w:bookmarkStart w:id="67" w:name="study-4-predicting-age-of-acquisition"/>
    <w:p>
      <w:pPr>
        <w:pStyle w:val="berschrift1"/>
      </w:pPr>
      <w:r>
        <w:t xml:space="preserve">Study 4: Predicting age of acquisition</w:t>
      </w:r>
    </w:p>
    <w:p>
      <w:pPr>
        <w:pStyle w:val="FirstParagraph"/>
      </w:pPr>
      <w:r>
        <w:t xml:space="preserve">Adult ratings show that shape-organized nouns are not overwhelmingly common among early nouns. In Study 4 we ask whether mean shape ratings still predict age of acquisition after controlling for frequency and related covariates: whether shape is a good cue for learning even when it is not a common one.</w:t>
      </w:r>
    </w:p>
    <w:bookmarkStart w:id="65" w:name="methods-4"/>
    <w:p>
      <w:pPr>
        <w:pStyle w:val="berschrift2"/>
      </w:pPr>
      <w:r>
        <w:t xml:space="preserve">Methods</w:t>
      </w:r>
    </w:p>
    <w:p>
      <w:pPr>
        <w:pStyle w:val="FirstParagraph"/>
      </w:pPr>
      <w:r>
        <w:t xml:space="preserve">Our outcome variable is item-level age of acquisition (AoA) in months, derived from Wordbank parental-report data using the logistic-curve fitting procedure of</w:t>
      </w:r>
      <w:r>
        <w:t xml:space="preserve"> </w:t>
      </w:r>
      <w:r>
        <w:t xml:space="preserve">Braginsky, Yurovsky, Marchman, and Frank (2019)</w:t>
      </w:r>
      <w:r>
        <w:t xml:space="preserve">. For each language and each CDI word, AoA is defined as the age (in months) at which the proportion of children reported to produce the word reaches 0.5 in cross-sectional production data. We use the publicly available AoA estimates released alongside Wordbank</w:t>
      </w:r>
      <w:r>
        <w:t xml:space="preserve"> </w:t>
      </w:r>
      <w:r>
        <w:t xml:space="preserve">(Frank et al., 2021)</w:t>
      </w:r>
      <w:r>
        <w:t xml:space="preserve"> </w:t>
      </w:r>
      <w:r>
        <w:t xml:space="preserve">and restrict to the production trajectory throughout. Using our shape-rating measures as a predictor of an independent and precomputed developmental measure data provides a form of external validation. This strategy follows a now-standard family of analyses in the early-noun literature</w:t>
      </w:r>
      <w:r>
        <w:t xml:space="preserve"> </w:t>
      </w:r>
      <w:r>
        <w:t xml:space="preserve">(e.g., Braginsky et al., 2019)</w:t>
      </w:r>
      <w:r>
        <w:t xml:space="preserve">.</w:t>
      </w:r>
    </w:p>
    <w:bookmarkStart w:id="63" w:name="predictors"/>
    <w:p>
      <w:pPr>
        <w:pStyle w:val="berschrift3"/>
      </w:pPr>
      <w:r>
        <w:t xml:space="preserve">Predictors.</w:t>
      </w:r>
    </w:p>
    <w:p>
      <w:pPr>
        <w:pStyle w:val="FirstParagraph"/>
      </w:pPr>
      <w:r>
        <w:t xml:space="preserve">We model AoA as a function of five item-level predictors: Mean shape rating of the initial and retest study 1, count-noun and solid proportions from initial study 1, word frequency as the log relative frequency of the unilemma in the CHILDES corpus for that language, standardized within language, as distributed with Wordbank, and concreteness as adult concreteness norms from</w:t>
      </w:r>
      <w:r>
        <w:t xml:space="preserve"> </w:t>
      </w:r>
      <w:r>
        <w:t xml:space="preserve">Brysbaert, Warriner, and Kuperman (2014)</w:t>
      </w:r>
      <w:r>
        <w:t xml:space="preserve">, which provides ratings for 40,000 English lemmas on a 1–5 scale. All continuous predictors are</w:t>
      </w:r>
      <w:r>
        <w:t xml:space="preserve"> </w:t>
      </w:r>
      <w:r>
        <w:rPr>
          <w:i/>
          <w:iCs/>
        </w:rPr>
        <w:t xml:space="preserve">z</w:t>
      </w:r>
      <w:r>
        <w:t xml:space="preserve">-scored prior to fitting. AoA estimates were available for 3420 item-by-language observations across 14 languages (Wordbank production-AoA estimates were unavailable for Kiswahili and Spanish (Peruvian), so Study 4 covers 14 of the 16 Study 1 languages). Table</w:t>
      </w:r>
      <w:r>
        <w:t xml:space="preserve"> </w:t>
      </w:r>
      <w:r>
        <w:t xml:space="preserve">??</w:t>
      </w:r>
      <w:r>
        <w:t xml:space="preserve"> </w:t>
      </w:r>
      <w:r>
        <w:t xml:space="preserve">summarizes sample sizes and mean shape-organization ratings for the four rating datasets.</w:t>
      </w:r>
    </w:p>
    <w:bookmarkEnd w:id="63"/>
    <w:bookmarkStart w:id="64" w:name="models"/>
    <w:p>
      <w:pPr>
        <w:pStyle w:val="berschrift3"/>
      </w:pPr>
      <w:r>
        <w:t xml:space="preserve">Models.</w:t>
      </w:r>
    </w:p>
    <w:p>
      <w:pPr>
        <w:pStyle w:val="FirstParagraph"/>
      </w:pPr>
      <w:r>
        <w:t xml:space="preserve">The first unilemma model is a linear mixed-effects regression of the form</w:t>
      </w:r>
    </w:p>
    <w:p>
      <w:pPr>
        <w:pStyle w:val="Textkrper"/>
      </w:pPr>
      <w:r>
        <w:t xml:space="preserve">$$
    \small\begin{aligned}
    \text{AoA}_i ={} &amp; \beta_0 + \beta_1\,\text{logfreq}_i + \beta_2\,\text{concreteness}_i + \beta_3\,\text{solid}_i +\beta_4\,\text{count}_i + \beta_5\,\text{shape}_i + \beta_6\,\text{language}_i + u_{\text{category}[i]}+ v_{\text{unilemma}[i]}+ \epsilon_i \end{aligned}
    $$</w:t>
      </w:r>
    </w:p>
    <w:p>
      <w:pPr>
        <w:pStyle w:val="FirstParagraph"/>
      </w:pPr>
      <w:r>
        <w:t xml:space="preserve">The shape, solidity, and count-noun predictors are English-rater judgments attached to a unilemma, so the cross-linguistic variation is therefore a variation in which unilemmas each language’s early lexicon contains and in the AoA of those unilemmas. We additionally fit a sensitivity model restricted to artifact-leaning categories (excluding animals, body parts, clothing, and outside), since the development of word learning for animate and natural-kind nouns may follow a different trajectory.</w:t>
      </w:r>
      <w:r>
        <w:t xml:space="preserve"> </w:t>
      </w:r>
      <w:r>
        <w:t xml:space="preserve">We also fit a single-language English AoA model, and compare two Korean AoA models on the same matched item set to ask which rater group’s lexical features better predict Korean AoA. The English-predictor model enters the average of Study 1 ratings with Korean unilemma corpus frequency and concreteness. The Korean-predictor model enters the average of the two Korean rating datasets, with the same Korean corpus log frequency, but omits concreteness because those norms are English ratings rather than Korean-specific measures.</w:t>
      </w:r>
    </w:p>
    <w:bookmarkEnd w:id="64"/>
    <w:bookmarkEnd w:id="65"/>
    <w:bookmarkStart w:id="66" w:name="results-and-discussion-2"/>
    <w:p>
      <w:pPr>
        <w:pStyle w:val="berschrift2"/>
      </w:pPr>
      <w:r>
        <w:t xml:space="preserve">Results and discussion</w:t>
      </w:r>
    </w:p>
    <w:p>
      <w:pPr>
        <w:pStyle w:val="FirstParagraph"/>
      </w:pPr>
      <w:r>
        <w:t xml:space="preserve">In the cross-linguistic unilemma mixed-effects model (Table</w:t>
      </w:r>
      <w:r>
        <w:t xml:space="preserve"> </w:t>
      </w:r>
      <w:r>
        <w:t xml:space="preserve">??</w:t>
      </w:r>
      <w:r>
        <w:t xml:space="preserve">), frequency was the strongest predictor (</w:t>
      </w:r>
      <m:oMath>
        <m:r>
          <m:t>B</m:t>
        </m:r>
      </m:oMath>
      <w:r>
        <w:t xml:space="preserve"> </w:t>
      </w:r>
      <w:r>
        <w:t xml:space="preserve">= -0.59,</w:t>
      </w:r>
      <w:r>
        <w:t xml:space="preserve"> </w:t>
      </w:r>
      <m:oMath>
        <m:r>
          <m:t>p</m:t>
        </m:r>
      </m:oMath>
      <w:r>
        <w:t xml:space="preserve"> </w:t>
      </w:r>
      <w:r>
        <w:t xml:space="preserve">&lt; .001), with more frequent words acquired -0.59 months earlier per SD, while concreteness added nothing (</w:t>
      </w:r>
      <m:oMath>
        <m:r>
          <m:t>B</m:t>
        </m:r>
      </m:oMath>
      <w:r>
        <w:t xml:space="preserve"> </w:t>
      </w:r>
      <w:r>
        <w:t xml:space="preserve">= -0.01,</w:t>
      </w:r>
      <w:r>
        <w:t xml:space="preserve"> </w:t>
      </w:r>
      <m:oMath>
        <m:r>
          <m:t>p</m:t>
        </m:r>
      </m:oMath>
      <w:r>
        <w:t xml:space="preserve"> </w:t>
      </w:r>
      <w:r>
        <w:t xml:space="preserve">= .886), which is expected to be range-restricted in this item set of early nouns. The mean shape rating remained a significant unique predictor of AoA above and beyond these covariates (</w:t>
      </w:r>
      <m:oMath>
        <m:r>
          <m:t>B</m:t>
        </m:r>
      </m:oMath>
      <w:r>
        <w:t xml:space="preserve"> </w:t>
      </w:r>
      <w:r>
        <w:t xml:space="preserve">= -0.28,</w:t>
      </w:r>
      <w:r>
        <w:t xml:space="preserve"> </w:t>
      </w:r>
      <m:oMath>
        <m:r>
          <m:t>p</m:t>
        </m:r>
      </m:oMath>
      <w:r>
        <w:t xml:space="preserve"> </w:t>
      </w:r>
      <w:r>
        <w:t xml:space="preserve">= .013, 95% Wald CI [-0.50, -0.06]), with higher shape ratings associated with -0.28 months earlier acquisition per SD, comparable to the range of reliable item-level AoA predictors in this literature</w:t>
      </w:r>
      <w:r>
        <w:t xml:space="preserve"> </w:t>
      </w:r>
      <w:r>
        <w:t xml:space="preserve">(Tan, Loukatou, Braginsky, Mankewitz, &amp; Frank, 2024)</w:t>
      </w:r>
      <w:r>
        <w:t xml:space="preserve">. Solidity (</w:t>
      </w:r>
      <m:oMath>
        <m:r>
          <m:t>B</m:t>
        </m:r>
      </m:oMath>
      <w:r>
        <w:t xml:space="preserve"> </w:t>
      </w:r>
      <w:r>
        <w:t xml:space="preserve">= 0.19,</w:t>
      </w:r>
      <w:r>
        <w:t xml:space="preserve"> </w:t>
      </w:r>
      <m:oMath>
        <m:r>
          <m:t>p</m:t>
        </m:r>
      </m:oMath>
      <w:r>
        <w:t xml:space="preserve"> </w:t>
      </w:r>
      <w:r>
        <w:t xml:space="preserve">= .117) and count-noun status (</w:t>
      </w:r>
      <m:oMath>
        <m:r>
          <m:t>B</m:t>
        </m:r>
      </m:oMath>
      <w:r>
        <w:t xml:space="preserve"> </w:t>
      </w:r>
      <w:r>
        <w:t xml:space="preserve">= -0.16,</w:t>
      </w:r>
      <w:r>
        <w:t xml:space="preserve"> </w:t>
      </w:r>
      <m:oMath>
        <m:r>
          <m:t>p</m:t>
        </m:r>
      </m:oMath>
      <w:r>
        <w:t xml:space="preserve"> </w:t>
      </w:r>
      <w:r>
        <w:t xml:space="preserve">= .189) were not reliably different from zero. Adding a per-language random slope left the fixed effect unchanged (</w:t>
      </w:r>
      <m:oMath>
        <m:r>
          <m:t>B</m:t>
        </m:r>
      </m:oMath>
      <w:r>
        <w:t xml:space="preserve"> </w:t>
      </w:r>
      <w:r>
        <w:t xml:space="preserve">= -0.32,</w:t>
      </w:r>
      <w:r>
        <w:t xml:space="preserve"> </w:t>
      </w:r>
      <m:oMath>
        <m:r>
          <m:t>p</m:t>
        </m:r>
      </m:oMath>
      <w:r>
        <w:t xml:space="preserve"> </w:t>
      </w:r>
      <w:r>
        <w:t xml:space="preserve">= .008). Contrasting the z-scored coefficients directly, shape’s coefficient was reliably more negative than solidity’s (difference = -0.47,</w:t>
      </w:r>
      <w:r>
        <w:t xml:space="preserve"> </w:t>
      </w:r>
      <m:oMath>
        <m:r>
          <m:t>S</m:t>
        </m:r>
        <m:r>
          <m:t>E</m:t>
        </m:r>
      </m:oMath>
      <w:r>
        <w:t xml:space="preserve"> </w:t>
      </w:r>
      <w:r>
        <w:t xml:space="preserve">= 0.18,</w:t>
      </w:r>
      <w:r>
        <w:t xml:space="preserve"> </w:t>
      </w:r>
      <m:oMath>
        <m:r>
          <m:t>p</m:t>
        </m:r>
      </m:oMath>
      <w:r>
        <w:t xml:space="preserve"> </w:t>
      </w:r>
      <w:r>
        <w:t xml:space="preserve">= .008), while its difference from count-noun status was not reliable (difference = -0.12,</w:t>
      </w:r>
      <w:r>
        <w:t xml:space="preserve"> </w:t>
      </w:r>
      <m:oMath>
        <m:r>
          <m:t>S</m:t>
        </m:r>
        <m:r>
          <m:t>E</m:t>
        </m:r>
      </m:oMath>
      <w:r>
        <w:t xml:space="preserve"> </w:t>
      </w:r>
      <w:r>
        <w:t xml:space="preserve">= 0.19,</w:t>
      </w:r>
      <w:r>
        <w:t xml:space="preserve"> </w:t>
      </w:r>
      <m:oMath>
        <m:r>
          <m:t>p</m:t>
        </m:r>
      </m:oMath>
      <w:r>
        <w:t xml:space="preserve"> </w:t>
      </w:r>
      <w:r>
        <w:t xml:space="preserve">= .534)</w:t>
      </w:r>
      <w:r>
        <w:t xml:space="preserve"> </w:t>
      </w:r>
      <w:r>
        <w:t xml:space="preserve">(Gelman &amp; Stern, 2006)</w:t>
      </w:r>
      <w:r>
        <w:t xml:space="preserve">. Shape thus predicts AoA at least as well as properties that are far more common in the early lexicon.</w:t>
      </w:r>
      <w:r>
        <w:t xml:space="preserve"> </w:t>
      </w:r>
      <w:r>
        <w:t xml:space="preserve">A Bayesian refit of the same model with weakly informative priors (normal(0, 5) on the coefficients) gives a posterior for the shape coefficient with 99.3% of its mass below zero (mean = -0.28, 95% CrI [-0.50, -0.06]); the full posterior summary is in Supplement S9.</w:t>
      </w:r>
      <w:r>
        <w:br/>
      </w:r>
      <w:r>
        <w:t xml:space="preserve">Refitting after excluding the most widely shared unilemmas (unilemmas appearing in more than 12 of the 14 language sets) preserved the effect (</w:t>
      </w:r>
      <m:oMath>
        <m:r>
          <m:t>B</m:t>
        </m:r>
      </m:oMath>
      <w:r>
        <w:t xml:space="preserve"> </w:t>
      </w:r>
      <w:r>
        <w:t xml:space="preserve">= -0.26,</w:t>
      </w:r>
      <w:r>
        <w:t xml:space="preserve"> </w:t>
      </w:r>
      <m:oMath>
        <m:r>
          <m:t>p</m:t>
        </m:r>
      </m:oMath>
      <w:r>
        <w:t xml:space="preserve"> </w:t>
      </w:r>
      <w:r>
        <w:t xml:space="preserve">= .025; 610 unilemmas). Refitting the model 14 times, dropping one language’s items on each pass, left the shape coefficient negative and reliable in every one, within a narrow band (-0.31 to -0.26, against a pooled estimate of -0.28; weakest when Russian was dropped, -0.26,</w:t>
      </w:r>
      <w:r>
        <w:t xml:space="preserve"> </w:t>
      </w:r>
      <m:oMath>
        <m:r>
          <m:t>p</m:t>
        </m:r>
      </m:oMath>
      <w:r>
        <w:t xml:space="preserve"> </w:t>
      </w:r>
      <w:r>
        <w:t xml:space="preserve">= .026), so no single language carries the association (Supplement S8).</w:t>
      </w:r>
      <w:r>
        <w:t xml:space="preserve"> </w:t>
      </w:r>
      <w:r>
        <w:t xml:space="preserve">The artifact-only sensitivity model, refit after excluding semantic categories (animals, body parts, clothing, outside) whose acquisition trajectories may not be governed by the same processes, preserved the pattern and shape remained a significant predictor (</w:t>
      </w:r>
      <m:oMath>
        <m:r>
          <m:t>B</m:t>
        </m:r>
      </m:oMath>
      <w:r>
        <w:t xml:space="preserve"> </w:t>
      </w:r>
      <w:r>
        <w:t xml:space="preserve">= -0.42,</w:t>
      </w:r>
      <w:r>
        <w:t xml:space="preserve"> </w:t>
      </w:r>
      <m:oMath>
        <m:r>
          <m:t>p</m:t>
        </m:r>
      </m:oMath>
      <w:r>
        <w:t xml:space="preserve"> </w:t>
      </w:r>
      <w:r>
        <w:t xml:space="preserve">= .001). Because solidity and count-noun status come from the initial Study 1 sample alone while shape averages two samples, we also refit the model with the initial-sample shape proportion in place of the average, so all three lexical predictors come from a single sample with comparable split-half reliabilities (0.82, 0.71, and 0.51, respectively); shape remained a reliable predictor (</w:t>
      </w:r>
      <m:oMath>
        <m:r>
          <m:t>B</m:t>
        </m:r>
      </m:oMath>
      <w:r>
        <w:t xml:space="preserve"> </w:t>
      </w:r>
      <w:r>
        <w:t xml:space="preserve">= -0.25,</w:t>
      </w:r>
      <w:r>
        <w:t xml:space="preserve"> </w:t>
      </w:r>
      <m:oMath>
        <m:r>
          <m:t>p</m:t>
        </m:r>
      </m:oMath>
      <w:r>
        <w:t xml:space="preserve"> </w:t>
      </w:r>
      <w:r>
        <w:t xml:space="preserve">= .025).</w:t>
      </w:r>
    </w:p>
    <w:p>
      <w:pPr>
        <w:pStyle w:val="Textkrper"/>
      </w:pPr>
      <w:r>
        <w:t xml:space="preserve">A model fit to the English (American) items alone (</w:t>
      </w:r>
      <m:oMath>
        <m:r>
          <m:t>N</m:t>
        </m:r>
      </m:oMath>
      <w:r>
        <w:t xml:space="preserve"> </w:t>
      </w:r>
      <w:r>
        <w:t xml:space="preserve">= 291) reproduced the association (</w:t>
      </w:r>
      <m:oMath>
        <m:r>
          <m:t>B</m:t>
        </m:r>
      </m:oMath>
      <w:r>
        <w:t xml:space="preserve"> </w:t>
      </w:r>
      <w:r>
        <w:t xml:space="preserve">= -0.41,</w:t>
      </w:r>
      <w:r>
        <w:t xml:space="preserve"> </w:t>
      </w:r>
      <m:oMath>
        <m:r>
          <m:t>p</m:t>
        </m:r>
      </m:oMath>
      <w:r>
        <w:t xml:space="preserve"> </w:t>
      </w:r>
      <w:r>
        <w:t xml:space="preserve">= .018). On the matched Korean AoA item set (</w:t>
      </w:r>
      <m:oMath>
        <m:r>
          <m:t>N</m:t>
        </m:r>
      </m:oMath>
      <w:r>
        <w:t xml:space="preserve"> </w:t>
      </w:r>
      <w:r>
        <w:t xml:space="preserve">= 175), the English-predictor model recovered only frequency (</w:t>
      </w:r>
      <m:oMath>
        <m:r>
          <m:t>B</m:t>
        </m:r>
      </m:oMath>
      <w:r>
        <w:t xml:space="preserve"> </w:t>
      </w:r>
      <w:r>
        <w:t xml:space="preserve">= -2.11,</w:t>
      </w:r>
      <w:r>
        <w:t xml:space="preserve"> </w:t>
      </w:r>
      <m:oMath>
        <m:r>
          <m:t>p</m:t>
        </m:r>
      </m:oMath>
      <w:r>
        <w:t xml:space="preserve"> </w:t>
      </w:r>
      <w:r>
        <w:t xml:space="preserve">&lt; .001). In the Korean-predictor model, countability status showed a unique association (</w:t>
      </w:r>
      <m:oMath>
        <m:r>
          <m:t>B</m:t>
        </m:r>
      </m:oMath>
      <w:r>
        <w:t xml:space="preserve"> </w:t>
      </w:r>
      <w:r>
        <w:t xml:space="preserve">= -0.83,</w:t>
      </w:r>
      <w:r>
        <w:t xml:space="preserve"> </w:t>
      </w:r>
      <m:oMath>
        <m:r>
          <m:t>p</m:t>
        </m:r>
      </m:oMath>
      <w:r>
        <w:t xml:space="preserve"> </w:t>
      </w:r>
      <w:r>
        <w:t xml:space="preserve">= .001, more countable-like items acquired earlier), while more solid items acquired later (</w:t>
      </w:r>
      <m:oMath>
        <m:r>
          <m:t>B</m:t>
        </m:r>
      </m:oMath>
      <w:r>
        <w:t xml:space="preserve"> </w:t>
      </w:r>
      <w:r>
        <w:t xml:space="preserve">= 0.56,</w:t>
      </w:r>
      <w:r>
        <w:t xml:space="preserve"> </w:t>
      </w:r>
      <m:oMath>
        <m:r>
          <m:t>p</m:t>
        </m:r>
      </m:oMath>
      <w:r>
        <w:t xml:space="preserve"> </w:t>
      </w:r>
      <w:r>
        <w:t xml:space="preserve">= .026), and shape was not reliable (</w:t>
      </w:r>
      <m:oMath>
        <m:r>
          <m:t>B</m:t>
        </m:r>
      </m:oMath>
      <w:r>
        <w:t xml:space="preserve"> </w:t>
      </w:r>
      <w:r>
        <w:t xml:space="preserve">= 0.27,</w:t>
      </w:r>
      <w:r>
        <w:t xml:space="preserve"> </w:t>
      </w:r>
      <m:oMath>
        <m:r>
          <m:t>p</m:t>
        </m:r>
      </m:oMath>
      <w:r>
        <w:t xml:space="preserve"> </w:t>
      </w:r>
      <w:r>
        <w:t xml:space="preserve">= .255). Comparing the two, the Korean-predictor model fits slightly better (AIC 835.4 vs. 846.1; marginal</w:t>
      </w:r>
      <w:r>
        <w:t xml:space="preserve"> </w:t>
      </w:r>
      <m:oMath>
        <m:sSup>
          <m:e>
            <m:r>
              <m:t>R</m:t>
            </m:r>
          </m:e>
          <m:sup>
            <m:r>
              <m:t>2</m:t>
            </m:r>
          </m:sup>
        </m:sSup>
      </m:oMath>
      <w:r>
        <w:t xml:space="preserve"> </w:t>
      </w:r>
      <w:r>
        <w:t xml:space="preserve">0.45 vs. 0.40) and supplies a different signal (countability status).</w:t>
      </w:r>
      <w:r>
        <w:t xml:space="preserve"> </w:t>
      </w:r>
      <w:r>
        <w:t xml:space="preserve">Simulating the English-only design at its current size recovers an effect of the pooled magnitude 42% of the time, and the Korean-predictor model is even smaller. We therefore read the absence of a Korean shape effect as uninformative rather than as contradicting the pooled unilemma fit.</w:t>
      </w:r>
    </w:p>
    <w:p>
      <w:pPr>
        <w:pStyle w:val="Textkrper"/>
      </w:pPr>
      <w:r>
        <w:t xml:space="preserve">Since items entered the study because they are early-acquired, it by design truncates the outcome’s range, which likely attenuates the slopes relative to what an unrestricted vocabulary would show. The shape-AoA association is therefore established for early-acquired nouns specifically; whether it extends across the full vocabulary is a question this design cannot answer.</w:t>
      </w:r>
    </w:p>
    <w:p>
      <w:pPr>
        <w:pStyle w:val="Textkrper"/>
      </w:pPr>
      <w:r>
        <w:t xml:space="preserve">One possibility could be that frequent words are also more shape-organized, which would imply that the shape effect on AoA is partly redundant with frequency. Across our items, the correlation between log frequency and mean shape rating is essentially zero (</w:t>
      </w:r>
      <m:oMath>
        <m:r>
          <m:t>r</m:t>
        </m:r>
      </m:oMath>
      <w:r>
        <w:t xml:space="preserve"> </w:t>
      </w:r>
      <w:r>
        <w:t xml:space="preserve">= -0.002, 95% CI [-0.08, 0.08],</w:t>
      </w:r>
      <w:r>
        <w:t xml:space="preserve"> </w:t>
      </w:r>
      <m:oMath>
        <m:r>
          <m:t>N</m:t>
        </m:r>
      </m:oMath>
      <w:r>
        <w:t xml:space="preserve"> </w:t>
      </w:r>
      <w:r>
        <w:t xml:space="preserve">= 655 unilemmas; computed at the unilemma level), indicating that frequency and shape-organization carry independent information about which words are acquired early.</w:t>
      </w:r>
    </w:p>
    <w:p>
      <w:pPr>
        <w:pStyle w:val="Textkrper"/>
      </w:pPr>
      <w:r>
        <w:t xml:space="preserve">A related alternative is that adults may judge familiar, early, highly imageable words to be shape-organized, rather than shape organization tracking acquisition creating a reverse causality. Testing this left the shape coefficient intact:</w:t>
      </w:r>
      <w:r>
        <w:t xml:space="preserve"> </w:t>
      </w:r>
      <m:oMath>
        <m:r>
          <m:t>B</m:t>
        </m:r>
      </m:oMath>
      <w:r>
        <w:t xml:space="preserve"> </w:t>
      </w:r>
      <w:r>
        <w:t xml:space="preserve">= -0.34,</w:t>
      </w:r>
      <w:r>
        <w:t xml:space="preserve"> </w:t>
      </w:r>
      <m:oMath>
        <m:r>
          <m:t>p</m:t>
        </m:r>
      </m:oMath>
      <w:r>
        <w:t xml:space="preserve"> </w:t>
      </w:r>
      <w:r>
        <w:t xml:space="preserve">= .011 with adult imageability and familiarity added [Glasgow Norms, 413 matched unilemmas;</w:t>
      </w:r>
      <w:r>
        <w:t xml:space="preserve"> </w:t>
      </w:r>
      <w:r>
        <w:t xml:space="preserve">Scott, Keitel, Becirspahic, Yao, and Sereno (2019)</w:t>
      </w:r>
      <w:r>
        <w:t xml:space="preserve">],</w:t>
      </w:r>
      <w:r>
        <w:t xml:space="preserve"> </w:t>
      </w:r>
      <m:oMath>
        <m:r>
          <m:t>B</m:t>
        </m:r>
      </m:oMath>
      <w:r>
        <w:t xml:space="preserve"> </w:t>
      </w:r>
      <w:r>
        <w:t xml:space="preserve">= -0.29,</w:t>
      </w:r>
      <w:r>
        <w:t xml:space="preserve"> </w:t>
      </w:r>
      <m:oMath>
        <m:r>
          <m:t>p</m:t>
        </m:r>
      </m:oMath>
      <w:r>
        <w:t xml:space="preserve"> </w:t>
      </w:r>
      <w:r>
        <w:t xml:space="preserve">= .009 with adult English AoA added [588 unilemmas;</w:t>
      </w:r>
      <w:r>
        <w:t xml:space="preserve"> </w:t>
      </w:r>
      <w:r>
        <w:t xml:space="preserve">Kuperman, Stadthagen-Gonzalez, and Brysbaert (2012)</w:t>
      </w:r>
      <w:r>
        <w:t xml:space="preserve">], and</w:t>
      </w:r>
      <w:r>
        <w:t xml:space="preserve"> </w:t>
      </w:r>
      <m:oMath>
        <m:r>
          <m:t>B</m:t>
        </m:r>
      </m:oMath>
      <w:r>
        <w:t xml:space="preserve"> </w:t>
      </w:r>
      <w:r>
        <w:t xml:space="preserve">= -0.35,</w:t>
      </w:r>
      <w:r>
        <w:t xml:space="preserve"> </w:t>
      </w:r>
      <m:oMath>
        <m:r>
          <m:t>p</m:t>
        </m:r>
      </m:oMath>
      <w:r>
        <w:t xml:space="preserve"> </w:t>
      </w:r>
      <w:r>
        <w:t xml:space="preserve">= .041 with all six adult covariates entered together (adding babiness, valence, and arousal). These fits do not identify the causal direction, but they are inconsistent with the shape rating merely proxying the adult accessibility of early words.</w:t>
      </w:r>
    </w:p>
    <w:p>
      <w:pPr>
        <w:pStyle w:val="Textkrper"/>
      </w:pPr>
      <w:r>
        <w:rPr>
          <w:b/>
          <w:bCs/>
        </w:rPr>
        <w:t xml:space="preserve">Qualitative examples.</w:t>
      </w:r>
      <w:r>
        <w:t xml:space="preserve"> </w:t>
      </w:r>
      <w:r>
        <w:t xml:space="preserve">Table</w:t>
      </w:r>
      <w:r>
        <w:t xml:space="preserve"> </w:t>
      </w:r>
      <w:r>
        <w:t xml:space="preserve">??</w:t>
      </w:r>
      <w:r>
        <w:t xml:space="preserve"> </w:t>
      </w:r>
      <w:r>
        <w:t xml:space="preserve">contrasts two profiles of nouns. Nouns rated highly solid but low on shape, such as kayak, earth, puppet, are acquired late and are typically larger, more complex, or less canonically shaped artifacts. Nouns with a clear shared shape but lower solidity, such as eye, mouth, belly button, are acquired comparatively early despite their less prototypical</w:t>
      </w:r>
      <w:r>
        <w:t xml:space="preserve"> </w:t>
      </w:r>
      <w:r>
        <w:t xml:space="preserve">“object-ness.”</w:t>
      </w:r>
      <w:r>
        <w:t xml:space="preserve"> </w:t>
      </w:r>
      <w:r>
        <w:t xml:space="preserve">Being solid is no guarantee that a category has a shared shape, and these cases show that a clear shape signal can scaffold word acquisition even when other lexical correlates are weak.</w:t>
      </w:r>
    </w:p>
    <w:bookmarkEnd w:id="66"/>
    <w:bookmarkEnd w:id="67"/>
    <w:bookmarkStart w:id="72" w:name="general-discussion"/>
    <w:p>
      <w:pPr>
        <w:pStyle w:val="berschrift1"/>
      </w:pPr>
      <w:r>
        <w:t xml:space="preserve">General Discussion</w:t>
      </w:r>
    </w:p>
    <w:p>
      <w:pPr>
        <w:pStyle w:val="FirstParagraph"/>
      </w:pPr>
      <w:r>
        <w:t xml:space="preserve">This work tested the statistical generalization account of the shape bias by measuring the distributional dominance of shape in the early lexicon and asking (i) whether those lexical statistics explain cross-linguistic variation in the shape bias, and (ii) whether they predict the age at which individual words are learned. Our results converge on a single framing: shape is a good cue for early noun learning, but it is not ubiquitous i.e. few early nouns name categories that adults judge to be organized by shape, but the nouns that do, are learned earlier. Across five English and Korean samples, shape-organized categories were considerably less dominant in the early lexicon than previously expected, yet, shape predicted age of acquisition. The features that predict early word learning are therefore not the same as the features that are common in early word learning. This dissociation is hard to reconcile with a pure exposure account, on which the shape bias is a downstream consequence of how often shape-organized count nouns appear in the input. It is more easily reconciled with a learnability account, on which the presence of a clear shape signal in a category makes that category easier to learn, when it happens to be there.</w:t>
      </w:r>
    </w:p>
    <w:bookmarkStart w:id="68" w:name="X01c4209bc8b87dc897ffb9fff92e7d82dcc4aed"/>
    <w:p>
      <w:pPr>
        <w:pStyle w:val="berschrift2"/>
      </w:pPr>
      <w:r>
        <w:t xml:space="preserve">Korean adult ratings exceed English: a puzzle for the simplest statistical account</w:t>
      </w:r>
    </w:p>
    <w:p>
      <w:pPr>
        <w:pStyle w:val="FirstParagraph"/>
      </w:pPr>
      <w:r>
        <w:t xml:space="preserve">The Korean data shows a pattern that is opposite of what the simplest version of the statistical-generalization account predicts: if cross-linguistic variation in the child shape bias were a downstream consequence of cross-linguistic variation in the lexical statistics adults perceive, we should have found fewer shape-organized nouns in Korean compared to English. We see at least three candidate explanations:</w:t>
      </w:r>
    </w:p>
    <w:p>
      <w:pPr>
        <w:numPr>
          <w:ilvl w:val="0"/>
          <w:numId w:val="1002"/>
        </w:numPr>
      </w:pPr>
      <w:r>
        <w:t xml:space="preserve">The Korean classifier system directs adult attention to shape. Korean lacks the count-mass syntax of English but obligatorily uses numeral classifiers when counting, and choosing one requires the speaker to settle what kind of thing, and in which form, the referent is:</w:t>
      </w:r>
      <w:r>
        <w:t xml:space="preserve"> </w:t>
      </w:r>
      <w:r>
        <w:t xml:space="preserve">“myeong”</w:t>
      </w:r>
      <w:r>
        <w:t xml:space="preserve"> </w:t>
      </w:r>
      <w:r>
        <w:t xml:space="preserve">for people,</w:t>
      </w:r>
      <w:r>
        <w:t xml:space="preserve"> </w:t>
      </w:r>
      <w:r>
        <w:t xml:space="preserve">“mari”</w:t>
      </w:r>
      <w:r>
        <w:t xml:space="preserve"> </w:t>
      </w:r>
      <w:r>
        <w:t xml:space="preserve">for animals,</w:t>
      </w:r>
      <w:r>
        <w:t xml:space="preserve"> </w:t>
      </w:r>
      <w:r>
        <w:t xml:space="preserve">“gae”</w:t>
      </w:r>
      <w:r>
        <w:t xml:space="preserve"> </w:t>
      </w:r>
      <w:r>
        <w:t xml:space="preserve">as the general classifier for inanimate objects,</w:t>
      </w:r>
      <w:r>
        <w:t xml:space="preserve"> </w:t>
      </w:r>
      <w:r>
        <w:t xml:space="preserve">“jaru”</w:t>
      </w:r>
      <w:r>
        <w:t xml:space="preserve"> </w:t>
      </w:r>
      <w:r>
        <w:t xml:space="preserve">for long thin implements such as pens,</w:t>
      </w:r>
      <w:r>
        <w:t xml:space="preserve"> </w:t>
      </w:r>
      <w:r>
        <w:t xml:space="preserve">“jang”</w:t>
      </w:r>
      <w:r>
        <w:t xml:space="preserve"> </w:t>
      </w:r>
      <w:r>
        <w:t xml:space="preserve">for flat sheet-like things such as paper, and</w:t>
      </w:r>
      <w:r>
        <w:t xml:space="preserve"> </w:t>
      </w:r>
      <w:r>
        <w:t xml:space="preserve">“al”</w:t>
      </w:r>
      <w:r>
        <w:t xml:space="preserve"> </w:t>
      </w:r>
      <w:r>
        <w:t xml:space="preserve">for small round things such as eggs</w:t>
      </w:r>
      <w:r>
        <w:t xml:space="preserve"> </w:t>
      </w:r>
      <w:r>
        <w:t xml:space="preserve">(Sohn, 1999; see also Allan, 1977; Aikhenvald, 2000)</w:t>
      </w:r>
      <w:r>
        <w:t xml:space="preserve">. A lifetime of this counting may raise the salience of shape and made it highly codable when adults are asked to reflect on it explicitly, especially in ambiguous contexts</w:t>
      </w:r>
      <w:r>
        <w:t xml:space="preserve"> </w:t>
      </w:r>
      <w:r>
        <w:t xml:space="preserve">(Speed, Chen, Huettig, &amp; Majid, 2021)</w:t>
      </w:r>
      <w:r>
        <w:t xml:space="preserve">, without making shape the cue toddlers weight most in the moment extension task. Chinese-speaking adults, whose classifier system encodes shape in a similar way, relied on shape more than English speakers in object classification tasks, grouping a snake with a rope</w:t>
      </w:r>
      <w:r>
        <w:t xml:space="preserve"> </w:t>
      </w:r>
      <w:r>
        <w:t xml:space="preserve">(Kuo &amp; Sera, 2009)</w:t>
      </w:r>
      <w:r>
        <w:t xml:space="preserve">, although classifier effects on similarity judgments are reported to be small relative to shared taxonomic and thematic structure</w:t>
      </w:r>
      <w:r>
        <w:t xml:space="preserve"> </w:t>
      </w:r>
      <w:r>
        <w:t xml:space="preserve">(Saalbach &amp; Imai, 2007)</w:t>
      </w:r>
      <w:r>
        <w:t xml:space="preserve">. This account locates the difference in adult linguistic experience rather than in the input available to toddlers, which fits our scoping of adult ratings as an index of the learned lexicon. It also generates a testable prediction that adult speakers of other numeral-classifier languages whose classifiers encode shape should show similarly elevated shape ratings under the matched forced-choice procedure.</w:t>
      </w:r>
    </w:p>
    <w:p>
      <w:pPr>
        <w:numPr>
          <w:ilvl w:val="0"/>
          <w:numId w:val="1002"/>
        </w:numPr>
      </w:pPr>
      <w:r>
        <w:t xml:space="preserve">Adult raters can attend to articulable features (</w:t>
      </w:r>
      <w:r>
        <w:t xml:space="preserve">“a knife has a typical shape”</w:t>
      </w:r>
      <w:r>
        <w:t xml:space="preserve">) that toddlers may not weight in the same way during word learning. The adult lexical-statistics measure is not a direct measure of child input; it is a measure of what adults notice in retrospect.</w:t>
      </w:r>
    </w:p>
    <w:p>
      <w:pPr>
        <w:numPr>
          <w:ilvl w:val="0"/>
          <w:numId w:val="1002"/>
        </w:numPr>
      </w:pPr>
      <w:r>
        <w:t xml:space="preserve">Participants in the reanalyzed in-country dataset were recruited locally, while the online sample may have consisted largely of bilingual Koreans living abroad. The fact that the higher shape rating appears in both datasets argues against a pure language-of-residence effect, but a residual sample-location, cultural, or recruitment confound cannot be ruled out.</w:t>
      </w:r>
    </w:p>
    <w:p>
      <w:pPr>
        <w:pStyle w:val="FirstParagraph"/>
      </w:pPr>
      <w:r>
        <w:t xml:space="preserve">Within each block, English and Korean item-level means were positively correlated. The puzzle is therefore not that Korean and English raters disagree on every dimension, or on which nouns are more shape-organized than others, but about the absolute shape-organization ratings.</w:t>
      </w:r>
    </w:p>
    <w:bookmarkEnd w:id="68"/>
    <w:bookmarkStart w:id="69" w:name="X8d67726722619ab20701eaf073616cc278522c4"/>
    <w:p>
      <w:pPr>
        <w:pStyle w:val="berschrift2"/>
      </w:pPr>
      <w:r>
        <w:t xml:space="preserve">Linguistic statistics versus environmental statistics</w:t>
      </w:r>
    </w:p>
    <w:p>
      <w:pPr>
        <w:pStyle w:val="FirstParagraph"/>
      </w:pPr>
      <w:r>
        <w:t xml:space="preserve">The statistical-generalization account could partially be about children’s environments, but our results, and our methodology, speak only to the learned lexicon, not to the visual or referential environment. In principle the two could decouple. Children across the world live among broadly similar inventories of shape-coherent artifacts and natural kinds, but the language they are learning may direct attention to different subsets of those objects, and may mark different organizing features as relevant</w:t>
      </w:r>
      <w:r>
        <w:t xml:space="preserve"> </w:t>
      </w:r>
      <w:r>
        <w:t xml:space="preserve">(Levinson, 2003; Majid, Bowerman, Kita, Haun, &amp; Levinson, 2004)</w:t>
      </w:r>
      <w:r>
        <w:t xml:space="preserve">. Anthropological and cross-cultural work documenting variation in the kinds and salience of artifacts and natural kinds in less industrialized societies</w:t>
      </w:r>
      <w:r>
        <w:t xml:space="preserve"> </w:t>
      </w:r>
      <w:r>
        <w:t xml:space="preserve">(Brown, 1998; Jara-Ettinger, Levy, Sakel, Huanca, &amp; Gibson, 2022)</w:t>
      </w:r>
      <w:r>
        <w:t xml:space="preserve"> </w:t>
      </w:r>
      <w:r>
        <w:t xml:space="preserve">suggests environmental statistics could partially explain the word extension task results. Disentangling lexical from environmental statistics in the same children would require ecological measurements of object exposure (e.g., from headcam corpora) alongside vocabulary, which is a clear next step for this line of work.</w:t>
      </w:r>
    </w:p>
    <w:bookmarkEnd w:id="69"/>
    <w:bookmarkStart w:id="70" w:name="limitations-and-future-directions"/>
    <w:p>
      <w:pPr>
        <w:pStyle w:val="berschrift2"/>
      </w:pPr>
      <w:r>
        <w:t xml:space="preserve">Limitations and future directions</w:t>
      </w:r>
    </w:p>
    <w:p>
      <w:pPr>
        <w:pStyle w:val="FirstParagraph"/>
      </w:pPr>
      <w:r>
        <w:t xml:space="preserve">First, the shape-AoA result rests on English-rater predictors. It holds in the pooled model and in the English-only fit, but the Korean-rater models are a weaker test: the power analysis in Study 4 indicates that a within-language design of that size detects only slopes about 2.4 times our pooled estimate. We report them so the cross-linguistic claim is not mistaken for a within-Korean one, a replication the current Korean item set is underpowered to deliver.</w:t>
      </w:r>
    </w:p>
    <w:p>
      <w:pPr>
        <w:pStyle w:val="Textkrper"/>
      </w:pPr>
      <w:r>
        <w:t xml:space="preserve">Second, our adult-rating approach captures the cumulative version of the shape bias (which features characterize the early lexicon) rather than the in-the-moment version (which features children rely on when extending a novel label). Linking the two will require measuring lexical statistics and children’s generalization behavior in the same languages; a direct per-language regression on child effect sizes is not yet possible, since the literature supplies too few non-English language-level estimates</w:t>
      </w:r>
      <w:r>
        <w:t xml:space="preserve"> </w:t>
      </w:r>
      <w:r>
        <w:t xml:space="preserve">(Abdelrahim &amp; Frank, 2026)</w:t>
      </w:r>
      <w:r>
        <w:t xml:space="preserve">.</w:t>
      </w:r>
      <w:r>
        <w:t xml:space="preserve"> </w:t>
      </w:r>
      <w:r>
        <w:t xml:space="preserve">Third, our cross-linguistic isolates the conceptual mappings lexicon-side prediction but it cannot detect cases where two language communities conceptualize the same item differently. Study 2 partly addresses this, but extension to typologically diverse non-Indo-European languages is needed.</w:t>
      </w:r>
    </w:p>
    <w:p>
      <w:pPr>
        <w:pStyle w:val="Textkrper"/>
      </w:pPr>
      <w:r>
        <w:t xml:space="preserve">Fourth, our conditional analyses engage the overhypothesis version of the statistical-generalization account</w:t>
      </w:r>
      <w:r>
        <w:t xml:space="preserve"> </w:t>
      </w:r>
      <w:r>
        <w:t xml:space="preserve">(Kemp et al., 2007)</w:t>
      </w:r>
      <w:r>
        <w:t xml:space="preserve"> </w:t>
      </w:r>
      <w:r>
        <w:t xml:space="preserve">only descriptively. On that version, children learn a second-order generalization over solid, count nouns, so the relevant statistic is the coherence of the solid-count-shape cluster rather than the marginal share of shape-organized nouns. That intersection is sparse in our data, which suggests the early lexicon offers this generalization less support than earlier counts implied. A hierarchical model that estimates the strength of the overhypothesis directly from these ratings is a next test, along with within-category visual variability as an additional cue.</w:t>
      </w:r>
    </w:p>
    <w:p>
      <w:pPr>
        <w:pStyle w:val="Textkrper"/>
      </w:pPr>
      <w:r>
        <w:t xml:space="preserve">Fifth, we relied on Wordbank-derived AoA estimates as our outcome measure in Study 4; while this is a standard external-validation strategy, it inherits the assumptions of the parental-report instruments used in different languages. Lastly, the procedure-dependence of the shape statistic, documented in Study 3, carries a general methodological lesson for this literature. The randomized experiment showed that the reported level of shape organization is governed first by the analyst’s coding rule and second by whether items are grouped by semantic category.</w:t>
      </w:r>
    </w:p>
    <w:bookmarkEnd w:id="70"/>
    <w:bookmarkStart w:id="71" w:name="conclusion"/>
    <w:p>
      <w:pPr>
        <w:pStyle w:val="berschrift2"/>
      </w:pPr>
      <w:r>
        <w:t xml:space="preserve">Conclusion</w:t>
      </w:r>
    </w:p>
    <w:p>
      <w:pPr>
        <w:pStyle w:val="FirstParagraph"/>
      </w:pPr>
      <w:r>
        <w:t xml:space="preserve">The shape bias remains a robust phenomenon in early noun learning. What our results call into question is the simplest version of the statistical generalization explanation for it. The lexical statistics that ground this account turn out to be less dominant in early lexicons than was previously thought, and their apparent dominance depends in part on how they are measured; they appear stable across the English-rated unilemma sets of typologically diverse languages, a design that cannot detect conceptual differences between language communities; and where they do vary across rater groups, they vary in a direction opposite to what the cross-linguistic developmental literature would predict. At the same time, shape reliably predicted acquisition at least as well as the features that dominate the lexical statistics we measured. Together, these findings reposition the shape bias as a learnability bias more than an exposure bias: shape is a useful cue when it is available, not a feature children come to expect because it is everywhere.</w:t>
      </w:r>
    </w:p>
    <w:p>
      <w:r>
        <w:br w:type="page"/>
      </w:r>
    </w:p>
    <w:bookmarkEnd w:id="71"/>
    <w:bookmarkEnd w:id="72"/>
    <w:bookmarkStart w:id="129" w:name="references"/>
    <w:p>
      <w:pPr>
        <w:pStyle w:val="berschrift1"/>
      </w:pPr>
      <w:r>
        <w:t xml:space="preserve">References</w:t>
      </w:r>
    </w:p>
    <w:bookmarkStart w:id="128" w:name="refs"/>
    <w:bookmarkStart w:id="74" w:name="ref-Abdelrahim_Frank_2026"/>
    <w:p>
      <w:pPr>
        <w:pStyle w:val="Literaturverzeichnis"/>
      </w:pPr>
      <w:r>
        <w:t xml:space="preserve">Abdelrahim, S., &amp; Frank, M. (2026). Examining the robustness and generalizability of the shape bias: A meta-analysis.</w:t>
      </w:r>
      <w:r>
        <w:t xml:space="preserve"> </w:t>
      </w:r>
      <w:r>
        <w:rPr>
          <w:i/>
          <w:iCs/>
        </w:rPr>
        <w:t xml:space="preserve">Journal of Child Language</w:t>
      </w:r>
      <w:r>
        <w:t xml:space="preserve">, 1–19. http://doi.org/</w:t>
      </w:r>
      <w:hyperlink r:id="rId73">
        <w:r>
          <w:rPr>
            <w:rStyle w:val="Hyperlink"/>
          </w:rPr>
          <w:t xml:space="preserve">10.1017/S0305000926100749</w:t>
        </w:r>
      </w:hyperlink>
    </w:p>
    <w:bookmarkEnd w:id="74"/>
    <w:bookmarkStart w:id="75" w:name="ref-aikhenvald_2000"/>
    <w:p>
      <w:pPr>
        <w:pStyle w:val="Literaturverzeichnis"/>
      </w:pPr>
      <w:r>
        <w:t xml:space="preserve">Aikhenvald, A. Y. (2000).</w:t>
      </w:r>
      <w:r>
        <w:t xml:space="preserve"> </w:t>
      </w:r>
      <w:r>
        <w:rPr>
          <w:i/>
          <w:iCs/>
        </w:rPr>
        <w:t xml:space="preserve">Classifiers: A typology of noun categorization devices</w:t>
      </w:r>
      <w:r>
        <w:t xml:space="preserve">. Oxford: Oxford University Press.</w:t>
      </w:r>
    </w:p>
    <w:bookmarkEnd w:id="75"/>
    <w:bookmarkStart w:id="76" w:name="ref-allan_1977"/>
    <w:p>
      <w:pPr>
        <w:pStyle w:val="Literaturverzeichnis"/>
      </w:pPr>
      <w:r>
        <w:t xml:space="preserve">Allan, K. (1977). Classifiers.</w:t>
      </w:r>
      <w:r>
        <w:t xml:space="preserve"> </w:t>
      </w:r>
      <w:r>
        <w:rPr>
          <w:i/>
          <w:iCs/>
        </w:rPr>
        <w:t xml:space="preserve">Language</w:t>
      </w:r>
      <w:r>
        <w:t xml:space="preserve">,</w:t>
      </w:r>
      <w:r>
        <w:t xml:space="preserve"> </w:t>
      </w:r>
      <w:r>
        <w:rPr>
          <w:i/>
          <w:iCs/>
        </w:rPr>
        <w:t xml:space="preserve">53</w:t>
      </w:r>
      <w:r>
        <w:t xml:space="preserve">(2), 285–311.</w:t>
      </w:r>
    </w:p>
    <w:bookmarkEnd w:id="76"/>
    <w:bookmarkStart w:id="77" w:name="ref-barner_snedeker_2005"/>
    <w:p>
      <w:pPr>
        <w:pStyle w:val="Literaturverzeichnis"/>
      </w:pPr>
      <w:r>
        <w:t xml:space="preserve">Barner, D., &amp; Snedeker, J. (2005). Quantity judgments and individuation: Evidence that mass nouns count.</w:t>
      </w:r>
      <w:r>
        <w:t xml:space="preserve"> </w:t>
      </w:r>
      <w:r>
        <w:rPr>
          <w:i/>
          <w:iCs/>
        </w:rPr>
        <w:t xml:space="preserve">Cognition</w:t>
      </w:r>
      <w:r>
        <w:t xml:space="preserve">,</w:t>
      </w:r>
      <w:r>
        <w:t xml:space="preserve"> </w:t>
      </w:r>
      <w:r>
        <w:rPr>
          <w:i/>
          <w:iCs/>
        </w:rPr>
        <w:t xml:space="preserve">97</w:t>
      </w:r>
      <w:r>
        <w:t xml:space="preserve">(1), 41–66.</w:t>
      </w:r>
    </w:p>
    <w:bookmarkEnd w:id="77"/>
    <w:bookmarkStart w:id="78" w:name="ref-bloom_1994"/>
    <w:p>
      <w:pPr>
        <w:pStyle w:val="Literaturverzeichnis"/>
      </w:pPr>
      <w:r>
        <w:t xml:space="preserve">Bloom, P. (1994). Possible names: The role of syntax-semantics mappings in the acquisition of nominals.</w:t>
      </w:r>
      <w:r>
        <w:t xml:space="preserve"> </w:t>
      </w:r>
      <w:r>
        <w:rPr>
          <w:i/>
          <w:iCs/>
        </w:rPr>
        <w:t xml:space="preserve">Lingua</w:t>
      </w:r>
      <w:r>
        <w:t xml:space="preserve">,</w:t>
      </w:r>
      <w:r>
        <w:t xml:space="preserve"> </w:t>
      </w:r>
      <w:r>
        <w:rPr>
          <w:i/>
          <w:iCs/>
        </w:rPr>
        <w:t xml:space="preserve">92</w:t>
      </w:r>
      <w:r>
        <w:t xml:space="preserve">(3-4), 297–329.</w:t>
      </w:r>
    </w:p>
    <w:bookmarkEnd w:id="78"/>
    <w:bookmarkStart w:id="79" w:name="ref-braginsky_2019"/>
    <w:p>
      <w:pPr>
        <w:pStyle w:val="Literaturverzeichnis"/>
      </w:pPr>
      <w:r>
        <w:t xml:space="preserve">Braginsky, M., Yurovsky, D., Marchman, V. A., &amp; Frank, M. C. (2019). Consistency and variability in children’s word learning across languages.</w:t>
      </w:r>
      <w:r>
        <w:t xml:space="preserve"> </w:t>
      </w:r>
      <w:r>
        <w:rPr>
          <w:i/>
          <w:iCs/>
        </w:rPr>
        <w:t xml:space="preserve">Open Mind</w:t>
      </w:r>
      <w:r>
        <w:t xml:space="preserve">,</w:t>
      </w:r>
      <w:r>
        <w:t xml:space="preserve"> </w:t>
      </w:r>
      <w:r>
        <w:rPr>
          <w:i/>
          <w:iCs/>
        </w:rPr>
        <w:t xml:space="preserve">3</w:t>
      </w:r>
      <w:r>
        <w:t xml:space="preserve">, 52–67.</w:t>
      </w:r>
    </w:p>
    <w:bookmarkEnd w:id="79"/>
    <w:bookmarkStart w:id="80" w:name="ref-brown_1998"/>
    <w:p>
      <w:pPr>
        <w:pStyle w:val="Literaturverzeichnis"/>
      </w:pPr>
      <w:r>
        <w:t xml:space="preserve">Brown, C. H. (1998). Folk classification: An introduction. In D. L. Medin &amp; S. Atran (Eds.),</w:t>
      </w:r>
      <w:r>
        <w:t xml:space="preserve"> </w:t>
      </w:r>
      <w:r>
        <w:rPr>
          <w:i/>
          <w:iCs/>
        </w:rPr>
        <w:t xml:space="preserve">Folkbiology</w:t>
      </w:r>
      <w:r>
        <w:t xml:space="preserve"> </w:t>
      </w:r>
      <w:r>
        <w:t xml:space="preserve">(pp. 91–114). Cambridge, MA: MIT Press.</w:t>
      </w:r>
    </w:p>
    <w:bookmarkEnd w:id="80"/>
    <w:bookmarkStart w:id="81" w:name="ref-brysbaert_etal_2014"/>
    <w:p>
      <w:pPr>
        <w:pStyle w:val="Literaturverzeichnis"/>
      </w:pPr>
      <w:r>
        <w:t xml:space="preserve">Brysbaert, M., Warriner, A. B., &amp; Kuperman, V. (2014). Concreteness ratings for 40 thousand generally known english word lemmas.</w:t>
      </w:r>
      <w:r>
        <w:t xml:space="preserve"> </w:t>
      </w:r>
      <w:r>
        <w:rPr>
          <w:i/>
          <w:iCs/>
        </w:rPr>
        <w:t xml:space="preserve">Behavior Research Methods</w:t>
      </w:r>
      <w:r>
        <w:t xml:space="preserve">,</w:t>
      </w:r>
      <w:r>
        <w:t xml:space="preserve"> </w:t>
      </w:r>
      <w:r>
        <w:rPr>
          <w:i/>
          <w:iCs/>
        </w:rPr>
        <w:t xml:space="preserve">46</w:t>
      </w:r>
      <w:r>
        <w:t xml:space="preserve">(3), 904–911.</w:t>
      </w:r>
    </w:p>
    <w:bookmarkEnd w:id="81"/>
    <w:bookmarkStart w:id="82" w:name="ref-colunga_smith_2005"/>
    <w:p>
      <w:pPr>
        <w:pStyle w:val="Literaturverzeichnis"/>
      </w:pPr>
      <w:r>
        <w:t xml:space="preserve">Colunga, E., &amp; Smith, L. B. (2005). From the lexicon to expectations about kinds: A role for associative learning.</w:t>
      </w:r>
      <w:r>
        <w:t xml:space="preserve"> </w:t>
      </w:r>
      <w:r>
        <w:rPr>
          <w:i/>
          <w:iCs/>
        </w:rPr>
        <w:t xml:space="preserve">Psychological Review</w:t>
      </w:r>
      <w:r>
        <w:t xml:space="preserve">,</w:t>
      </w:r>
      <w:r>
        <w:t xml:space="preserve"> </w:t>
      </w:r>
      <w:r>
        <w:rPr>
          <w:i/>
          <w:iCs/>
        </w:rPr>
        <w:t xml:space="preserve">112</w:t>
      </w:r>
      <w:r>
        <w:t xml:space="preserve">(2), 347–382.</w:t>
      </w:r>
    </w:p>
    <w:bookmarkEnd w:id="82"/>
    <w:bookmarkStart w:id="84" w:name="ref-frank2021variability"/>
    <w:p>
      <w:pPr>
        <w:pStyle w:val="Literaturverzeichnis"/>
      </w:pPr>
      <w:r>
        <w:t xml:space="preserve">Frank, M. C., Braginsky, M., Yurovsky, D., &amp; Marchman, V. A. (2021).</w:t>
      </w:r>
      <w:r>
        <w:t xml:space="preserve"> </w:t>
      </w:r>
      <w:r>
        <w:rPr>
          <w:i/>
          <w:iCs/>
        </w:rPr>
        <w:t xml:space="preserve">Variability and consistency in early language learning: The wordbank project</w:t>
      </w:r>
      <w:r>
        <w:t xml:space="preserve">. The MIT Press. http://doi.org/</w:t>
      </w:r>
      <w:hyperlink r:id="rId83">
        <w:r>
          <w:rPr>
            <w:rStyle w:val="Hyperlink"/>
          </w:rPr>
          <w:t xml:space="preserve">10.7551/mitpress/11577.001.0001</w:t>
        </w:r>
      </w:hyperlink>
    </w:p>
    <w:bookmarkEnd w:id="84"/>
    <w:bookmarkStart w:id="86" w:name="ref-gathercole_1997"/>
    <w:p>
      <w:pPr>
        <w:pStyle w:val="Literaturverzeichnis"/>
      </w:pPr>
      <w:r>
        <w:t xml:space="preserve">Gathercole, V. C. M., &amp; Min, H. (1997). Word meaning biases or language-specific effects?</w:t>
      </w:r>
      <w:r>
        <w:t xml:space="preserve"> </w:t>
      </w:r>
      <w:r>
        <w:t xml:space="preserve">Evidence</w:t>
      </w:r>
      <w:r>
        <w:t xml:space="preserve"> </w:t>
      </w:r>
      <w:r>
        <w:t xml:space="preserve">from</w:t>
      </w:r>
      <w:r>
        <w:t xml:space="preserve"> </w:t>
      </w:r>
      <w:r>
        <w:t xml:space="preserve">English</w:t>
      </w:r>
      <w:r>
        <w:t xml:space="preserve">,</w:t>
      </w:r>
      <w:r>
        <w:t xml:space="preserve"> </w:t>
      </w:r>
      <w:r>
        <w:t xml:space="preserve">Spanish</w:t>
      </w:r>
      <w:r>
        <w:t xml:space="preserve"> </w:t>
      </w:r>
      <w:r>
        <w:t xml:space="preserve">and</w:t>
      </w:r>
      <w:r>
        <w:t xml:space="preserve"> </w:t>
      </w:r>
      <w:r>
        <w:t xml:space="preserve">Korean</w:t>
      </w:r>
      <w:r>
        <w:t xml:space="preserve">.</w:t>
      </w:r>
      <w:r>
        <w:t xml:space="preserve"> </w:t>
      </w:r>
      <w:r>
        <w:rPr>
          <w:i/>
          <w:iCs/>
        </w:rPr>
        <w:t xml:space="preserve">First Language</w:t>
      </w:r>
      <w:r>
        <w:t xml:space="preserve">,</w:t>
      </w:r>
      <w:r>
        <w:t xml:space="preserve"> </w:t>
      </w:r>
      <w:r>
        <w:rPr>
          <w:i/>
          <w:iCs/>
        </w:rPr>
        <w:t xml:space="preserve">17</w:t>
      </w:r>
      <w:r>
        <w:t xml:space="preserve">(51), 031–56. http://doi.org/</w:t>
      </w:r>
      <w:hyperlink r:id="rId85">
        <w:r>
          <w:rPr>
            <w:rStyle w:val="Hyperlink"/>
          </w:rPr>
          <w:t xml:space="preserve">10.1177/014272379701705102</w:t>
        </w:r>
      </w:hyperlink>
    </w:p>
    <w:bookmarkEnd w:id="86"/>
    <w:bookmarkStart w:id="87" w:name="ref-gelman_stern_2006"/>
    <w:p>
      <w:pPr>
        <w:pStyle w:val="Literaturverzeichnis"/>
      </w:pPr>
      <w:r>
        <w:t xml:space="preserve">Gelman, A., &amp; Stern, H. (2006). The difference between</w:t>
      </w:r>
      <w:r>
        <w:t xml:space="preserve"> </w:t>
      </w:r>
      <w:r>
        <w:t xml:space="preserve">“significant”</w:t>
      </w:r>
      <w:r>
        <w:t xml:space="preserve"> </w:t>
      </w:r>
      <w:r>
        <w:t xml:space="preserve">and</w:t>
      </w:r>
      <w:r>
        <w:t xml:space="preserve"> </w:t>
      </w:r>
      <w:r>
        <w:t xml:space="preserve">“not significant”</w:t>
      </w:r>
      <w:r>
        <w:t xml:space="preserve"> </w:t>
      </w:r>
      <w:r>
        <w:t xml:space="preserve">is not itself statistically significant.</w:t>
      </w:r>
      <w:r>
        <w:t xml:space="preserve"> </w:t>
      </w:r>
      <w:r>
        <w:rPr>
          <w:i/>
          <w:iCs/>
        </w:rPr>
        <w:t xml:space="preserve">The American Statistician</w:t>
      </w:r>
      <w:r>
        <w:t xml:space="preserve">,</w:t>
      </w:r>
      <w:r>
        <w:t xml:space="preserve"> </w:t>
      </w:r>
      <w:r>
        <w:rPr>
          <w:i/>
          <w:iCs/>
        </w:rPr>
        <w:t xml:space="preserve">60</w:t>
      </w:r>
      <w:r>
        <w:t xml:space="preserve">(4), 328–331.</w:t>
      </w:r>
    </w:p>
    <w:bookmarkEnd w:id="87"/>
    <w:bookmarkStart w:id="88" w:name="ref-gentner_markman_1997"/>
    <w:p>
      <w:pPr>
        <w:pStyle w:val="Literaturverzeichnis"/>
      </w:pPr>
      <w:r>
        <w:t xml:space="preserve">Gentner, D., &amp; Markman, A. B. (1997). Structure mapping in analogy and similarity.</w:t>
      </w:r>
      <w:r>
        <w:t xml:space="preserve"> </w:t>
      </w:r>
      <w:r>
        <w:rPr>
          <w:i/>
          <w:iCs/>
        </w:rPr>
        <w:t xml:space="preserve">American Psychologist</w:t>
      </w:r>
      <w:r>
        <w:t xml:space="preserve">,</w:t>
      </w:r>
      <w:r>
        <w:t xml:space="preserve"> </w:t>
      </w:r>
      <w:r>
        <w:rPr>
          <w:i/>
          <w:iCs/>
        </w:rPr>
        <w:t xml:space="preserve">52</w:t>
      </w:r>
      <w:r>
        <w:t xml:space="preserve">(1), 45–56.</w:t>
      </w:r>
    </w:p>
    <w:bookmarkEnd w:id="88"/>
    <w:bookmarkStart w:id="90" w:name="ref-gershkoff-stowe_shape_2004"/>
    <w:p>
      <w:pPr>
        <w:pStyle w:val="Literaturverzeichnis"/>
      </w:pPr>
      <w:r>
        <w:t xml:space="preserve">Gershkoff-Stowe, L., &amp; Smith, L. B. (2004). Shape and the</w:t>
      </w:r>
      <w:r>
        <w:t xml:space="preserve"> </w:t>
      </w:r>
      <w:r>
        <w:t xml:space="preserve">First</w:t>
      </w:r>
      <w:r>
        <w:t xml:space="preserve"> </w:t>
      </w:r>
      <w:r>
        <w:t xml:space="preserve">Hundred</w:t>
      </w:r>
      <w:r>
        <w:t xml:space="preserve"> </w:t>
      </w:r>
      <w:r>
        <w:t xml:space="preserve">Nouns</w:t>
      </w:r>
      <w:r>
        <w:t xml:space="preserve">.</w:t>
      </w:r>
      <w:r>
        <w:t xml:space="preserve"> </w:t>
      </w:r>
      <w:r>
        <w:rPr>
          <w:i/>
          <w:iCs/>
        </w:rPr>
        <w:t xml:space="preserve">Child Development</w:t>
      </w:r>
      <w:r>
        <w:t xml:space="preserve">,</w:t>
      </w:r>
      <w:r>
        <w:t xml:space="preserve"> </w:t>
      </w:r>
      <w:r>
        <w:rPr>
          <w:i/>
          <w:iCs/>
        </w:rPr>
        <w:t xml:space="preserve">75</w:t>
      </w:r>
      <w:r>
        <w:t xml:space="preserve">(4), 1098–1114. http://doi.org/</w:t>
      </w:r>
      <w:hyperlink r:id="rId89">
        <w:r>
          <w:rPr>
            <w:rStyle w:val="Hyperlink"/>
          </w:rPr>
          <w:t xml:space="preserve">10.1111/j.1467-8624.2004.00728.x</w:t>
        </w:r>
      </w:hyperlink>
    </w:p>
    <w:bookmarkEnd w:id="90"/>
    <w:bookmarkStart w:id="91" w:name="ref-imai1997"/>
    <w:p>
      <w:pPr>
        <w:pStyle w:val="Literaturverzeichnis"/>
      </w:pPr>
      <w:r>
        <w:t xml:space="preserve">Imai, M., &amp; Gentner, D. (1997). A cross-linguistic study of early word meaning: Universal ontology and linguistic influence.</w:t>
      </w:r>
      <w:r>
        <w:t xml:space="preserve"> </w:t>
      </w:r>
      <w:r>
        <w:rPr>
          <w:i/>
          <w:iCs/>
        </w:rPr>
        <w:t xml:space="preserve">Cognition</w:t>
      </w:r>
      <w:r>
        <w:t xml:space="preserve">,</w:t>
      </w:r>
      <w:r>
        <w:t xml:space="preserve"> </w:t>
      </w:r>
      <w:r>
        <w:rPr>
          <w:i/>
          <w:iCs/>
        </w:rPr>
        <w:t xml:space="preserve">62</w:t>
      </w:r>
      <w:r>
        <w:t xml:space="preserve">(2), 169–200.</w:t>
      </w:r>
    </w:p>
    <w:bookmarkEnd w:id="91"/>
    <w:bookmarkStart w:id="93" w:name="ref-imai_childrens_1994"/>
    <w:p>
      <w:pPr>
        <w:pStyle w:val="Literaturverzeichnis"/>
      </w:pPr>
      <w:r>
        <w:t xml:space="preserve">Imai, M., Gentner, D., &amp; Uchida, N. (1994). Children’s theories of word meaning:</w:t>
      </w:r>
      <w:r>
        <w:t xml:space="preserve"> </w:t>
      </w:r>
      <w:r>
        <w:t xml:space="preserve">The</w:t>
      </w:r>
      <w:r>
        <w:t xml:space="preserve"> </w:t>
      </w:r>
      <w:r>
        <w:t xml:space="preserve">role of shape similarity in early acquisition.</w:t>
      </w:r>
      <w:r>
        <w:t xml:space="preserve"> </w:t>
      </w:r>
      <w:r>
        <w:rPr>
          <w:i/>
          <w:iCs/>
        </w:rPr>
        <w:t xml:space="preserve">Cognitive Development</w:t>
      </w:r>
      <w:r>
        <w:t xml:space="preserve">,</w:t>
      </w:r>
      <w:r>
        <w:t xml:space="preserve"> </w:t>
      </w:r>
      <w:r>
        <w:rPr>
          <w:i/>
          <w:iCs/>
        </w:rPr>
        <w:t xml:space="preserve">9</w:t>
      </w:r>
      <w:r>
        <w:t xml:space="preserve">(1), 45–75. http://doi.org/</w:t>
      </w:r>
      <w:hyperlink r:id="rId92">
        <w:r>
          <w:rPr>
            <w:rStyle w:val="Hyperlink"/>
          </w:rPr>
          <w:t xml:space="preserve">10.1016/0885-2014(94)90019-1</w:t>
        </w:r>
      </w:hyperlink>
    </w:p>
    <w:bookmarkEnd w:id="93"/>
    <w:bookmarkStart w:id="94" w:name="ref-imai_2008"/>
    <w:p>
      <w:pPr>
        <w:pStyle w:val="Literaturverzeichnis"/>
      </w:pPr>
      <w:r>
        <w:t xml:space="preserve">Imai, M., Li, L., Haryu, E., Okada, H., Hirsh-Pasek, K., Golinkoff, R. M., &amp; Shigematsu, J. (2008). Novel noun and verb learning in</w:t>
      </w:r>
      <w:r>
        <w:t xml:space="preserve"> </w:t>
      </w:r>
      <w:r>
        <w:t xml:space="preserve">C</w:t>
      </w:r>
      <w:r>
        <w:t xml:space="preserve">hinese-,</w:t>
      </w:r>
      <w:r>
        <w:t xml:space="preserve"> </w:t>
      </w:r>
      <w:r>
        <w:t xml:space="preserve">E</w:t>
      </w:r>
      <w:r>
        <w:t xml:space="preserve">nglish-, and</w:t>
      </w:r>
      <w:r>
        <w:t xml:space="preserve"> </w:t>
      </w:r>
      <w:r>
        <w:t xml:space="preserve">J</w:t>
      </w:r>
      <w:r>
        <w:t xml:space="preserve">apanese-speaking children.</w:t>
      </w:r>
      <w:r>
        <w:t xml:space="preserve"> </w:t>
      </w:r>
      <w:r>
        <w:rPr>
          <w:i/>
          <w:iCs/>
        </w:rPr>
        <w:t xml:space="preserve">Child Development</w:t>
      </w:r>
      <w:r>
        <w:t xml:space="preserve">,</w:t>
      </w:r>
      <w:r>
        <w:t xml:space="preserve"> </w:t>
      </w:r>
      <w:r>
        <w:rPr>
          <w:i/>
          <w:iCs/>
        </w:rPr>
        <w:t xml:space="preserve">79</w:t>
      </w:r>
      <w:r>
        <w:t xml:space="preserve">(4), 979–1000.</w:t>
      </w:r>
    </w:p>
    <w:bookmarkEnd w:id="94"/>
    <w:bookmarkStart w:id="96" w:name="ref-imai2010"/>
    <w:p>
      <w:pPr>
        <w:pStyle w:val="Literaturverzeichnis"/>
      </w:pPr>
      <w:r>
        <w:t xml:space="preserve">Imai, M., Saalbach, H., &amp; Stern, E. (2010). Are chinese and german children taxonomic, thematic, or shape biased? Influence of classifiers and cultural contexts.</w:t>
      </w:r>
      <w:r>
        <w:t xml:space="preserve"> </w:t>
      </w:r>
      <w:r>
        <w:rPr>
          <w:i/>
          <w:iCs/>
        </w:rPr>
        <w:t xml:space="preserve">Frontiers in Psychology</w:t>
      </w:r>
      <w:r>
        <w:t xml:space="preserve">,</w:t>
      </w:r>
      <w:r>
        <w:t xml:space="preserve"> </w:t>
      </w:r>
      <w:r>
        <w:rPr>
          <w:i/>
          <w:iCs/>
        </w:rPr>
        <w:t xml:space="preserve">Volume 1 - 2010</w:t>
      </w:r>
      <w:r>
        <w:t xml:space="preserve">. http://doi.org/</w:t>
      </w:r>
      <w:hyperlink r:id="rId95">
        <w:r>
          <w:rPr>
            <w:rStyle w:val="Hyperlink"/>
          </w:rPr>
          <w:t xml:space="preserve">10.3389/fpsyg.2010.00194</w:t>
        </w:r>
      </w:hyperlink>
    </w:p>
    <w:bookmarkEnd w:id="96"/>
    <w:bookmarkStart w:id="97" w:name="ref-jara2022"/>
    <w:p>
      <w:pPr>
        <w:pStyle w:val="Literaturverzeichnis"/>
      </w:pPr>
      <w:r>
        <w:t xml:space="preserve">Jara-Ettinger, J., Levy, R., Sakel, J., Huanca, T., &amp; Gibson, E. (2022). The origins of the shape bias: Evidence from the tsimane’.</w:t>
      </w:r>
      <w:r>
        <w:t xml:space="preserve"> </w:t>
      </w:r>
      <w:r>
        <w:rPr>
          <w:i/>
          <w:iCs/>
        </w:rPr>
        <w:t xml:space="preserve">Journal of Experimental Psychology: General</w:t>
      </w:r>
      <w:r>
        <w:t xml:space="preserve">.</w:t>
      </w:r>
    </w:p>
    <w:bookmarkEnd w:id="97"/>
    <w:bookmarkStart w:id="99" w:name="ref-kemp_learning_2007"/>
    <w:p>
      <w:pPr>
        <w:pStyle w:val="Literaturverzeichnis"/>
      </w:pPr>
      <w:r>
        <w:t xml:space="preserve">Kemp, C., Perfors, A., &amp; Tenenbaum, J. B. (2007). Learning overhypotheses with hierarchical</w:t>
      </w:r>
      <w:r>
        <w:t xml:space="preserve"> </w:t>
      </w:r>
      <w:r>
        <w:t xml:space="preserve">Bayesian</w:t>
      </w:r>
      <w:r>
        <w:t xml:space="preserve"> </w:t>
      </w:r>
      <w:r>
        <w:t xml:space="preserve">models.</w:t>
      </w:r>
      <w:r>
        <w:t xml:space="preserve"> </w:t>
      </w:r>
      <w:r>
        <w:rPr>
          <w:i/>
          <w:iCs/>
        </w:rPr>
        <w:t xml:space="preserve">Developmental Science</w:t>
      </w:r>
      <w:r>
        <w:t xml:space="preserve">,</w:t>
      </w:r>
      <w:r>
        <w:t xml:space="preserve"> </w:t>
      </w:r>
      <w:r>
        <w:rPr>
          <w:i/>
          <w:iCs/>
        </w:rPr>
        <w:t xml:space="preserve">10</w:t>
      </w:r>
      <w:r>
        <w:t xml:space="preserve">(3), 307–321. http://doi.org/</w:t>
      </w:r>
      <w:hyperlink r:id="rId98">
        <w:r>
          <w:rPr>
            <w:rStyle w:val="Hyperlink"/>
          </w:rPr>
          <w:t xml:space="preserve">10.1111/j.1467-7687.2007.00585.x</w:t>
        </w:r>
      </w:hyperlink>
    </w:p>
    <w:bookmarkEnd w:id="99"/>
    <w:bookmarkStart w:id="100" w:name="ref-kuo_sera_2009"/>
    <w:p>
      <w:pPr>
        <w:pStyle w:val="Literaturverzeichnis"/>
      </w:pPr>
      <w:r>
        <w:t xml:space="preserve">Kuo, J. Y.-C., &amp; Sera, M. D. (2009). Classifier effects on human categorization: The role of shape classifiers in</w:t>
      </w:r>
      <w:r>
        <w:t xml:space="preserve"> </w:t>
      </w:r>
      <w:r>
        <w:t xml:space="preserve">Mandarin Chinese</w:t>
      </w:r>
      <w:r>
        <w:t xml:space="preserve">.</w:t>
      </w:r>
      <w:r>
        <w:t xml:space="preserve"> </w:t>
      </w:r>
      <w:r>
        <w:rPr>
          <w:i/>
          <w:iCs/>
        </w:rPr>
        <w:t xml:space="preserve">Journal of East Asian Linguistics</w:t>
      </w:r>
      <w:r>
        <w:t xml:space="preserve">,</w:t>
      </w:r>
      <w:r>
        <w:t xml:space="preserve"> </w:t>
      </w:r>
      <w:r>
        <w:rPr>
          <w:i/>
          <w:iCs/>
        </w:rPr>
        <w:t xml:space="preserve">18</w:t>
      </w:r>
      <w:r>
        <w:t xml:space="preserve">(1), 1–19.</w:t>
      </w:r>
    </w:p>
    <w:bookmarkEnd w:id="100"/>
    <w:bookmarkStart w:id="102" w:name="ref-kuperman2012"/>
    <w:p>
      <w:pPr>
        <w:pStyle w:val="Literaturverzeichnis"/>
      </w:pPr>
      <w:r>
        <w:t xml:space="preserve">Kuperman, V., Stadthagen-Gonzalez, H., &amp; Brysbaert, M. (2012). Age-of-acquisition ratings for 30,000</w:t>
      </w:r>
      <w:r>
        <w:t xml:space="preserve"> </w:t>
      </w:r>
      <w:r>
        <w:t xml:space="preserve">English</w:t>
      </w:r>
      <w:r>
        <w:t xml:space="preserve"> </w:t>
      </w:r>
      <w:r>
        <w:t xml:space="preserve">words.</w:t>
      </w:r>
      <w:r>
        <w:t xml:space="preserve"> </w:t>
      </w:r>
      <w:r>
        <w:rPr>
          <w:i/>
          <w:iCs/>
        </w:rPr>
        <w:t xml:space="preserve">Behavior Research Methods</w:t>
      </w:r>
      <w:r>
        <w:t xml:space="preserve">,</w:t>
      </w:r>
      <w:r>
        <w:t xml:space="preserve"> </w:t>
      </w:r>
      <w:r>
        <w:rPr>
          <w:i/>
          <w:iCs/>
        </w:rPr>
        <w:t xml:space="preserve">44</w:t>
      </w:r>
      <w:r>
        <w:t xml:space="preserve">(4), 978–990. http://doi.org/</w:t>
      </w:r>
      <w:hyperlink r:id="rId101">
        <w:r>
          <w:rPr>
            <w:rStyle w:val="Hyperlink"/>
          </w:rPr>
          <w:t xml:space="preserve">10.3758/s13428-012-0210-4</w:t>
        </w:r>
      </w:hyperlink>
    </w:p>
    <w:bookmarkEnd w:id="102"/>
    <w:bookmarkStart w:id="103" w:name="ref-landau1988"/>
    <w:p>
      <w:pPr>
        <w:pStyle w:val="Literaturverzeichnis"/>
      </w:pPr>
      <w:r>
        <w:t xml:space="preserve">Landau, B., Smith, L. B., &amp; Jones, S. S. (1988). The importance of shape in early lexical learning.</w:t>
      </w:r>
      <w:r>
        <w:t xml:space="preserve"> </w:t>
      </w:r>
      <w:r>
        <w:rPr>
          <w:i/>
          <w:iCs/>
        </w:rPr>
        <w:t xml:space="preserve">Cognitive Development</w:t>
      </w:r>
      <w:r>
        <w:t xml:space="preserve">,</w:t>
      </w:r>
      <w:r>
        <w:t xml:space="preserve"> </w:t>
      </w:r>
      <w:r>
        <w:rPr>
          <w:i/>
          <w:iCs/>
        </w:rPr>
        <w:t xml:space="preserve">3</w:t>
      </w:r>
      <w:r>
        <w:t xml:space="preserve">(3), 299–321.</w:t>
      </w:r>
    </w:p>
    <w:bookmarkEnd w:id="103"/>
    <w:bookmarkStart w:id="104" w:name="ref-levinson_2003"/>
    <w:p>
      <w:pPr>
        <w:pStyle w:val="Literaturverzeichnis"/>
      </w:pPr>
      <w:r>
        <w:t xml:space="preserve">Levinson, S. C. (2003).</w:t>
      </w:r>
      <w:r>
        <w:t xml:space="preserve"> </w:t>
      </w:r>
      <w:r>
        <w:rPr>
          <w:i/>
          <w:iCs/>
        </w:rPr>
        <w:t xml:space="preserve">Space in language and cognition: Explorations in cognitive diversity</w:t>
      </w:r>
      <w:r>
        <w:t xml:space="preserve">. Cambridge: Cambridge University Press.</w:t>
      </w:r>
    </w:p>
    <w:bookmarkEnd w:id="104"/>
    <w:bookmarkStart w:id="105" w:name="ref-majid_etal_2004"/>
    <w:p>
      <w:pPr>
        <w:pStyle w:val="Literaturverzeichnis"/>
      </w:pPr>
      <w:r>
        <w:t xml:space="preserve">Majid, A., Bowerman, M., Kita, S., Haun, D. B. M., &amp; Levinson, S. C. (2004). Can language restructure cognition? The case for space.</w:t>
      </w:r>
      <w:r>
        <w:t xml:space="preserve"> </w:t>
      </w:r>
      <w:r>
        <w:rPr>
          <w:i/>
          <w:iCs/>
        </w:rPr>
        <w:t xml:space="preserve">Trends in Cognitive Sciences</w:t>
      </w:r>
      <w:r>
        <w:t xml:space="preserve">,</w:t>
      </w:r>
      <w:r>
        <w:t xml:space="preserve"> </w:t>
      </w:r>
      <w:r>
        <w:rPr>
          <w:i/>
          <w:iCs/>
        </w:rPr>
        <w:t xml:space="preserve">8</w:t>
      </w:r>
      <w:r>
        <w:t xml:space="preserve">(3), 108–114.</w:t>
      </w:r>
    </w:p>
    <w:bookmarkEnd w:id="105"/>
    <w:bookmarkStart w:id="106" w:name="ref-namy_gentner_2002"/>
    <w:p>
      <w:pPr>
        <w:pStyle w:val="Literaturverzeichnis"/>
      </w:pPr>
      <w:r>
        <w:t xml:space="preserve">Namy, L. L., &amp; Gentner, D. (2002). Making a silk purse out of two sow’s ears: Young children’s use of comparison in category learning.</w:t>
      </w:r>
      <w:r>
        <w:t xml:space="preserve"> </w:t>
      </w:r>
      <w:r>
        <w:rPr>
          <w:i/>
          <w:iCs/>
        </w:rPr>
        <w:t xml:space="preserve">Journal of Experimental Psychology: General</w:t>
      </w:r>
      <w:r>
        <w:t xml:space="preserve">,</w:t>
      </w:r>
      <w:r>
        <w:t xml:space="preserve"> </w:t>
      </w:r>
      <w:r>
        <w:rPr>
          <w:i/>
          <w:iCs/>
        </w:rPr>
        <w:t xml:space="preserve">131</w:t>
      </w:r>
      <w:r>
        <w:t xml:space="preserve">(1), 5–15.</w:t>
      </w:r>
    </w:p>
    <w:bookmarkEnd w:id="106"/>
    <w:bookmarkStart w:id="107" w:name="ref-perry_samuelson_2011"/>
    <w:p>
      <w:pPr>
        <w:pStyle w:val="Literaturverzeichnis"/>
      </w:pPr>
      <w:r>
        <w:t xml:space="preserve">Perry, L. K., &amp; Samuelson, L. K. (2011). The shape of the vocabulary predicts the shape of the bias.</w:t>
      </w:r>
      <w:r>
        <w:t xml:space="preserve"> </w:t>
      </w:r>
      <w:r>
        <w:rPr>
          <w:i/>
          <w:iCs/>
        </w:rPr>
        <w:t xml:space="preserve">Cognition</w:t>
      </w:r>
      <w:r>
        <w:t xml:space="preserve">,</w:t>
      </w:r>
      <w:r>
        <w:t xml:space="preserve"> </w:t>
      </w:r>
      <w:r>
        <w:rPr>
          <w:i/>
          <w:iCs/>
        </w:rPr>
        <w:t xml:space="preserve">120</w:t>
      </w:r>
      <w:r>
        <w:t xml:space="preserve">(1), 97–104.</w:t>
      </w:r>
    </w:p>
    <w:bookmarkEnd w:id="107"/>
    <w:bookmarkStart w:id="109" w:name="ref-Perry2010_Variability"/>
    <w:p>
      <w:pPr>
        <w:pStyle w:val="Literaturverzeichnis"/>
      </w:pPr>
      <w:r>
        <w:t xml:space="preserve">Perry, L. K., Samuelson, L. K., Malloy, L. M., &amp; Schiffer, R. N. (2010). Learn locally, think globally: Exemplar variability supports higher-order generalization and word learning.</w:t>
      </w:r>
      <w:r>
        <w:t xml:space="preserve"> </w:t>
      </w:r>
      <w:r>
        <w:rPr>
          <w:i/>
          <w:iCs/>
        </w:rPr>
        <w:t xml:space="preserve">Psychological Science</w:t>
      </w:r>
      <w:r>
        <w:t xml:space="preserve">,</w:t>
      </w:r>
      <w:r>
        <w:t xml:space="preserve"> </w:t>
      </w:r>
      <w:r>
        <w:rPr>
          <w:i/>
          <w:iCs/>
        </w:rPr>
        <w:t xml:space="preserve">21</w:t>
      </w:r>
      <w:r>
        <w:t xml:space="preserve">(12), 1894–1902. http://doi.org/</w:t>
      </w:r>
      <w:hyperlink r:id="rId108">
        <w:r>
          <w:rPr>
            <w:rStyle w:val="Hyperlink"/>
          </w:rPr>
          <w:t xml:space="preserve">10.1177/0956797610389189</w:t>
        </w:r>
      </w:hyperlink>
    </w:p>
    <w:bookmarkEnd w:id="109"/>
    <w:bookmarkStart w:id="111" w:name="ref-Poulin-Dubois1999"/>
    <w:p>
      <w:pPr>
        <w:pStyle w:val="Literaturverzeichnis"/>
      </w:pPr>
      <w:r>
        <w:t xml:space="preserve">Poulin-Dubois, D., Frank, I., Graham, S. A., &amp; Elkin, A. (1999). The role of shape similarity in toddlers’ lexical extensions.</w:t>
      </w:r>
      <w:r>
        <w:t xml:space="preserve"> </w:t>
      </w:r>
      <w:r>
        <w:rPr>
          <w:i/>
          <w:iCs/>
        </w:rPr>
        <w:t xml:space="preserve">British Journal of Developmental Psychology</w:t>
      </w:r>
      <w:r>
        <w:t xml:space="preserve">,</w:t>
      </w:r>
      <w:r>
        <w:t xml:space="preserve"> </w:t>
      </w:r>
      <w:r>
        <w:rPr>
          <w:i/>
          <w:iCs/>
        </w:rPr>
        <w:t xml:space="preserve">17</w:t>
      </w:r>
      <w:r>
        <w:t xml:space="preserve">(1), 21–36. http://doi.org/</w:t>
      </w:r>
      <w:hyperlink r:id="rId110">
        <w:r>
          <w:rPr>
            <w:rStyle w:val="Hyperlink"/>
          </w:rPr>
          <w:t xml:space="preserve">https://doi.org/10.1348/026151099165131</w:t>
        </w:r>
      </w:hyperlink>
    </w:p>
    <w:bookmarkEnd w:id="111"/>
    <w:bookmarkStart w:id="112" w:name="ref-saalbach_imai_2007"/>
    <w:p>
      <w:pPr>
        <w:pStyle w:val="Literaturverzeichnis"/>
      </w:pPr>
      <w:r>
        <w:t xml:space="preserve">Saalbach, H., &amp; Imai, M. (2007). Scope of linguistic influence: Does a classifier system alter object concepts?</w:t>
      </w:r>
      <w:r>
        <w:t xml:space="preserve"> </w:t>
      </w:r>
      <w:r>
        <w:rPr>
          <w:i/>
          <w:iCs/>
        </w:rPr>
        <w:t xml:space="preserve">Journal of Experimental Psychology: General</w:t>
      </w:r>
      <w:r>
        <w:t xml:space="preserve">,</w:t>
      </w:r>
      <w:r>
        <w:t xml:space="preserve"> </w:t>
      </w:r>
      <w:r>
        <w:rPr>
          <w:i/>
          <w:iCs/>
        </w:rPr>
        <w:t xml:space="preserve">136</w:t>
      </w:r>
      <w:r>
        <w:t xml:space="preserve">(3), 485–501.</w:t>
      </w:r>
    </w:p>
    <w:bookmarkEnd w:id="112"/>
    <w:bookmarkStart w:id="113" w:name="ref-samuelson1999"/>
    <w:p>
      <w:pPr>
        <w:pStyle w:val="Literaturverzeichnis"/>
      </w:pPr>
      <w:r>
        <w:t xml:space="preserve">Samuelson, L. K., &amp; Smith, L. B. (1999). Early noun vocabularies: Do ontology, category structure and syntax correspond?</w:t>
      </w:r>
      <w:r>
        <w:t xml:space="preserve"> </w:t>
      </w:r>
      <w:r>
        <w:rPr>
          <w:i/>
          <w:iCs/>
        </w:rPr>
        <w:t xml:space="preserve">Cognition</w:t>
      </w:r>
      <w:r>
        <w:t xml:space="preserve">,</w:t>
      </w:r>
      <w:r>
        <w:t xml:space="preserve"> </w:t>
      </w:r>
      <w:r>
        <w:rPr>
          <w:i/>
          <w:iCs/>
        </w:rPr>
        <w:t xml:space="preserve">73</w:t>
      </w:r>
      <w:r>
        <w:t xml:space="preserve">(1), 1–33.</w:t>
      </w:r>
    </w:p>
    <w:bookmarkEnd w:id="113"/>
    <w:bookmarkStart w:id="115" w:name="ref-scott2019"/>
    <w:p>
      <w:pPr>
        <w:pStyle w:val="Literaturverzeichnis"/>
      </w:pPr>
      <w:r>
        <w:t xml:space="preserve">Scott, G. G., Keitel, A., Becirspahic, M., Yao, B., &amp; Sereno, S. C. (2019). The</w:t>
      </w:r>
      <w:r>
        <w:t xml:space="preserve"> </w:t>
      </w:r>
      <w:r>
        <w:t xml:space="preserve">Glasgow Norms</w:t>
      </w:r>
      <w:r>
        <w:t xml:space="preserve">: Ratings of 5,500 words on nine scales.</w:t>
      </w:r>
      <w:r>
        <w:t xml:space="preserve"> </w:t>
      </w:r>
      <w:r>
        <w:rPr>
          <w:i/>
          <w:iCs/>
        </w:rPr>
        <w:t xml:space="preserve">Behavior Research Methods</w:t>
      </w:r>
      <w:r>
        <w:t xml:space="preserve">,</w:t>
      </w:r>
      <w:r>
        <w:t xml:space="preserve"> </w:t>
      </w:r>
      <w:r>
        <w:rPr>
          <w:i/>
          <w:iCs/>
        </w:rPr>
        <w:t xml:space="preserve">51</w:t>
      </w:r>
      <w:r>
        <w:t xml:space="preserve">(3), 1258–1270. http://doi.org/</w:t>
      </w:r>
      <w:hyperlink r:id="rId114">
        <w:r>
          <w:rPr>
            <w:rStyle w:val="Hyperlink"/>
          </w:rPr>
          <w:t xml:space="preserve">10.3758/s13428-018-1099-3</w:t>
        </w:r>
      </w:hyperlink>
    </w:p>
    <w:bookmarkEnd w:id="115"/>
    <w:bookmarkStart w:id="117" w:name="ref-smith_naming_1996"/>
    <w:p>
      <w:pPr>
        <w:pStyle w:val="Literaturverzeichnis"/>
      </w:pPr>
      <w:r>
        <w:t xml:space="preserve">Smith, L. B., Jones, S. S., &amp; Landau, B. (1996). Naming in young children:</w:t>
      </w:r>
      <w:r>
        <w:t xml:space="preserve"> </w:t>
      </w:r>
      <w:r>
        <w:t xml:space="preserve">A</w:t>
      </w:r>
      <w:r>
        <w:t xml:space="preserve"> </w:t>
      </w:r>
      <w:r>
        <w:t xml:space="preserve">dumb attentional mechanism?</w:t>
      </w:r>
      <w:r>
        <w:t xml:space="preserve"> </w:t>
      </w:r>
      <w:r>
        <w:rPr>
          <w:i/>
          <w:iCs/>
        </w:rPr>
        <w:t xml:space="preserve">Cognition</w:t>
      </w:r>
      <w:r>
        <w:t xml:space="preserve">,</w:t>
      </w:r>
      <w:r>
        <w:t xml:space="preserve"> </w:t>
      </w:r>
      <w:r>
        <w:rPr>
          <w:i/>
          <w:iCs/>
        </w:rPr>
        <w:t xml:space="preserve">60</w:t>
      </w:r>
      <w:r>
        <w:t xml:space="preserve">(2), 143–171. http://doi.org/</w:t>
      </w:r>
      <w:hyperlink r:id="rId116">
        <w:r>
          <w:rPr>
            <w:rStyle w:val="Hyperlink"/>
          </w:rPr>
          <w:t xml:space="preserve">10.1016/0010-0277(96)00709-3</w:t>
        </w:r>
      </w:hyperlink>
    </w:p>
    <w:bookmarkEnd w:id="117"/>
    <w:bookmarkStart w:id="119" w:name="ref-smith_object_2002"/>
    <w:p>
      <w:pPr>
        <w:pStyle w:val="Literaturverzeichnis"/>
      </w:pPr>
      <w:r>
        <w:t xml:space="preserve">Smith, L. B., Jones, S. S., Landau, B., Gershkoff-Stowe, L., &amp; Samuelson, L. (2002). Object name learning provides on-the-job training for attention.</w:t>
      </w:r>
      <w:r>
        <w:t xml:space="preserve"> </w:t>
      </w:r>
      <w:r>
        <w:rPr>
          <w:i/>
          <w:iCs/>
        </w:rPr>
        <w:t xml:space="preserve">Psychological Science</w:t>
      </w:r>
      <w:r>
        <w:t xml:space="preserve">,</w:t>
      </w:r>
      <w:r>
        <w:t xml:space="preserve"> </w:t>
      </w:r>
      <w:r>
        <w:rPr>
          <w:i/>
          <w:iCs/>
        </w:rPr>
        <w:t xml:space="preserve">13</w:t>
      </w:r>
      <w:r>
        <w:t xml:space="preserve">(1), 13–19. http://doi.org/</w:t>
      </w:r>
      <w:hyperlink r:id="rId118">
        <w:r>
          <w:rPr>
            <w:rStyle w:val="Hyperlink"/>
          </w:rPr>
          <w:t xml:space="preserve">10.1111/1467-9280.00403</w:t>
        </w:r>
      </w:hyperlink>
    </w:p>
    <w:bookmarkEnd w:id="119"/>
    <w:bookmarkStart w:id="120" w:name="ref-sohn_1999"/>
    <w:p>
      <w:pPr>
        <w:pStyle w:val="Literaturverzeichnis"/>
      </w:pPr>
      <w:r>
        <w:t xml:space="preserve">Sohn, H.-M. (1999).</w:t>
      </w:r>
      <w:r>
        <w:t xml:space="preserve"> </w:t>
      </w:r>
      <w:r>
        <w:rPr>
          <w:i/>
          <w:iCs/>
        </w:rPr>
        <w:t xml:space="preserve">The</w:t>
      </w:r>
      <w:r>
        <w:rPr>
          <w:i/>
          <w:iCs/>
        </w:rPr>
        <w:t xml:space="preserve"> </w:t>
      </w:r>
      <w:r>
        <w:rPr>
          <w:i/>
          <w:iCs/>
        </w:rPr>
        <w:t xml:space="preserve">Korean</w:t>
      </w:r>
      <w:r>
        <w:rPr>
          <w:i/>
          <w:iCs/>
        </w:rPr>
        <w:t xml:space="preserve"> </w:t>
      </w:r>
      <w:r>
        <w:rPr>
          <w:i/>
          <w:iCs/>
        </w:rPr>
        <w:t xml:space="preserve">language</w:t>
      </w:r>
      <w:r>
        <w:t xml:space="preserve">. Cambridge: Cambridge University Press.</w:t>
      </w:r>
    </w:p>
    <w:bookmarkEnd w:id="120"/>
    <w:bookmarkStart w:id="122" w:name="ref-speed2021classifier"/>
    <w:p>
      <w:pPr>
        <w:pStyle w:val="Literaturverzeichnis"/>
      </w:pPr>
      <w:r>
        <w:t xml:space="preserve">Speed, L. J., Chen, J., Huettig, F., &amp; Majid, A. (2021). Classifier categories reflect, but do not affect conceptual organization.</w:t>
      </w:r>
      <w:r>
        <w:t xml:space="preserve"> </w:t>
      </w:r>
      <w:r>
        <w:rPr>
          <w:i/>
          <w:iCs/>
        </w:rPr>
        <w:t xml:space="preserve">Journal of Experimental Psychology: Learning, Memory, and Cognition</w:t>
      </w:r>
      <w:r>
        <w:t xml:space="preserve">,</w:t>
      </w:r>
      <w:r>
        <w:t xml:space="preserve"> </w:t>
      </w:r>
      <w:r>
        <w:rPr>
          <w:i/>
          <w:iCs/>
        </w:rPr>
        <w:t xml:space="preserve">47</w:t>
      </w:r>
      <w:r>
        <w:t xml:space="preserve">(4), 625–640. http://doi.org/</w:t>
      </w:r>
      <w:hyperlink r:id="rId121">
        <w:r>
          <w:rPr>
            <w:rStyle w:val="Hyperlink"/>
          </w:rPr>
          <w:t xml:space="preserve">10.1037/xlm0000967</w:t>
        </w:r>
      </w:hyperlink>
    </w:p>
    <w:bookmarkEnd w:id="122"/>
    <w:bookmarkStart w:id="124" w:name="ref-subrahmanyam_2006"/>
    <w:p>
      <w:pPr>
        <w:pStyle w:val="Literaturverzeichnis"/>
      </w:pPr>
      <w:r>
        <w:t xml:space="preserve">Subrahmanyam, K., &amp; Chen, H.-H. N. (2006). A crosslinguistic study of children’s noun learning:</w:t>
      </w:r>
      <w:r>
        <w:t xml:space="preserve"> </w:t>
      </w:r>
      <w:r>
        <w:t xml:space="preserve">The</w:t>
      </w:r>
      <w:r>
        <w:t xml:space="preserve"> </w:t>
      </w:r>
      <w:r>
        <w:t xml:space="preserve">case of object and substance words.</w:t>
      </w:r>
      <w:r>
        <w:t xml:space="preserve"> </w:t>
      </w:r>
      <w:r>
        <w:rPr>
          <w:i/>
          <w:iCs/>
        </w:rPr>
        <w:t xml:space="preserve">First Language</w:t>
      </w:r>
      <w:r>
        <w:t xml:space="preserve">,</w:t>
      </w:r>
      <w:r>
        <w:t xml:space="preserve"> </w:t>
      </w:r>
      <w:r>
        <w:rPr>
          <w:i/>
          <w:iCs/>
        </w:rPr>
        <w:t xml:space="preserve">26</w:t>
      </w:r>
      <w:r>
        <w:t xml:space="preserve">(2), 141–160. http://doi.org/</w:t>
      </w:r>
      <w:hyperlink r:id="rId123">
        <w:r>
          <w:rPr>
            <w:rStyle w:val="Hyperlink"/>
          </w:rPr>
          <w:t xml:space="preserve">10.1177/0142723706060744</w:t>
        </w:r>
      </w:hyperlink>
    </w:p>
    <w:bookmarkEnd w:id="124"/>
    <w:bookmarkStart w:id="125" w:name="ref-tan2024predicting"/>
    <w:p>
      <w:pPr>
        <w:pStyle w:val="Literaturverzeichnis"/>
      </w:pPr>
      <w:r>
        <w:t xml:space="preserve">Tan, A. W. M., Loukatou, G., Braginsky, M., Mankewitz, J., &amp; Frank, M. C. (2024). Predicting ages of acquisition for children’s early vocabulary across 27 languages and dialects. In</w:t>
      </w:r>
      <w:r>
        <w:t xml:space="preserve"> </w:t>
      </w:r>
      <w:r>
        <w:rPr>
          <w:i/>
          <w:iCs/>
        </w:rPr>
        <w:t xml:space="preserve">Proceedings of the annual meeting of the cognitive science society</w:t>
      </w:r>
      <w:r>
        <w:t xml:space="preserve"> </w:t>
      </w:r>
      <w:r>
        <w:t xml:space="preserve">(Vol. 46).</w:t>
      </w:r>
    </w:p>
    <w:bookmarkEnd w:id="125"/>
    <w:bookmarkStart w:id="126" w:name="ref-yoshida2003known"/>
    <w:p>
      <w:pPr>
        <w:pStyle w:val="Literaturverzeichnis"/>
      </w:pPr>
      <w:r>
        <w:t xml:space="preserve">Yoshida, H., &amp; Smith, L. B. (2003). Known and novel noun extensions: Attention at two levels of abstraction.</w:t>
      </w:r>
      <w:r>
        <w:t xml:space="preserve"> </w:t>
      </w:r>
      <w:r>
        <w:rPr>
          <w:i/>
          <w:iCs/>
        </w:rPr>
        <w:t xml:space="preserve">Child Development</w:t>
      </w:r>
      <w:r>
        <w:t xml:space="preserve">,</w:t>
      </w:r>
      <w:r>
        <w:t xml:space="preserve"> </w:t>
      </w:r>
      <w:r>
        <w:rPr>
          <w:i/>
          <w:iCs/>
        </w:rPr>
        <w:t xml:space="preserve">74</w:t>
      </w:r>
      <w:r>
        <w:t xml:space="preserve">(2), 564–577.</w:t>
      </w:r>
    </w:p>
    <w:bookmarkEnd w:id="126"/>
    <w:bookmarkStart w:id="127" w:name="ref-yoshida_smith_2005"/>
    <w:p>
      <w:pPr>
        <w:pStyle w:val="Literaturverzeichnis"/>
      </w:pPr>
      <w:r>
        <w:t xml:space="preserve">Yoshida, H., &amp; Smith, L. B. (2005). Linguistic cues enhance the learning of perceptual cues.</w:t>
      </w:r>
      <w:r>
        <w:t xml:space="preserve"> </w:t>
      </w:r>
      <w:r>
        <w:rPr>
          <w:i/>
          <w:iCs/>
        </w:rPr>
        <w:t xml:space="preserve">Cognition</w:t>
      </w:r>
      <w:r>
        <w:t xml:space="preserve">,</w:t>
      </w:r>
      <w:r>
        <w:t xml:space="preserve"> </w:t>
      </w:r>
      <w:r>
        <w:rPr>
          <w:i/>
          <w:iCs/>
        </w:rPr>
        <w:t xml:space="preserve">97</w:t>
      </w:r>
      <w:r>
        <w:t xml:space="preserve">(1), B1–B11.</w:t>
      </w:r>
    </w:p>
    <w:bookmarkEnd w:id="127"/>
    <w:bookmarkEnd w:id="128"/>
    <w:bookmarkEnd w:id="129"/>
    <w:sectPr w:rsidR="005A55BB" w:rsidRPr="00BF4B6B" w:rsidSect="00084144">
      <w:headerReference r:id="rId8" w:type="even"/>
      <w:headerReference r:id="rId9" w:type="default"/>
      <w:headerReference r:id="rId10" w:type="first"/>
      <w:pgSz w:h="15840" w:w="12240"/>
      <w:pgMar w:bottom="1134" w:footer="720" w:gutter="0" w:header="720" w:left="1417" w:right="1417" w:top="1417"/>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5">
    <w:p>
      <w:pPr>
        <w:pStyle w:val="Funotentext"/>
      </w:pPr>
      <w:r>
        <w:rPr>
          <w:rStyle w:val="Funotenzeichen"/>
        </w:rPr>
        <w:footnoteRef/>
      </w:r>
      <w:r>
        <w:t xml:space="preserve"> </w:t>
      </w:r>
      <w:r>
        <w:t xml:space="preserve">A session-logging error left the participant identifier missing on 13.80% of retained trials, in a pseudo-randomly sampled category-organization block to balance item coverage. Those trials are included in the item-level proportions. A sensitivity analysis in the supplementary materials with the unattributed trials excluded left the results unchanged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509259971"/>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rsidR="00AF36ED" w:rsidRDefault="003756FC"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922177194"/>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AF36ED" w:rsidRPr="00A05772" w:rsidRDefault="00693388" w:rsidP="00693388">
    <w:pPr>
      <w:pStyle w:val="Kopfzeile"/>
      <w:ind w:right="360"/>
    </w:pPr>
    <w:r>
      <w:t>A GOOD CUE, NOT A COMMON ONE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389921216"/>
      <w:docPartObj>
        <w:docPartGallery w:val="Page Numbers (Top of Page)"/>
        <w:docPartUnique/>
      </w:docPartObj>
    </w:sdtPr>
    <w:sdtEndPr>
      <w:rPr>
        <w:rStyle w:val="Seitenzahl"/>
      </w:rPr>
    </w:sdtEndPr>
    <w:sdtContent>
      <w:p w:rsidR="00DA0F6A" w:rsidRDefault="00E753DB" w:rsidP="00DF7CF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CB20D0" w:rsidRPr="00A05772" w:rsidRDefault="00E753DB" w:rsidP="00084144">
    <w:pPr>
      <w:pStyle w:val="Kopfzeile"/>
      <w:ind w:right="360"/>
    </w:pPr>
    <w:r>
      <w:t xml:space="preserve">Running head: </w:t>
    </w:r>
    <w:r w:rsidR="00CF1051">
      <w:t>A GOOD CUE, NOT A COMMON ONE</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EA454B4C"/>
    <w:multiLevelType w:val="multilevel"/>
    <w:tmpl w:val="9E9C40B6"/>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FFFFFF7C"/>
    <w:multiLevelType w:val="singleLevel"/>
    <w:tmpl w:val="1994828C"/>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B2EC9CA4"/>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AC524346"/>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327C1EF2"/>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7EFC042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D218727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24C04FB0"/>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92566E9E"/>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9DF67442"/>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1D1E8ADA"/>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000A990"/>
    <w:multiLevelType w:val="multilevel"/>
    <w:tmpl w:val="A4F4C56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2">
    <w:nsid w:val="0000A991"/>
    <w:multiLevelType w:val="multilevel"/>
    <w:tmpl w:val="A94A0332"/>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3">
    <w:nsid w:val="170CD2DE"/>
    <w:multiLevelType w:val="multilevel"/>
    <w:tmpl w:val="9FD2E3F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4">
    <w:nsid w:val="2C1AE401"/>
    <w:multiLevelType w:val="multilevel"/>
    <w:tmpl w:val="63C869C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3"/>
  </w:num>
  <w:num w:numId="2">
    <w:abstractNumId w:val="13"/>
  </w:num>
  <w:num w:numId="3">
    <w:abstractNumId w:val="14"/>
  </w:num>
  <w:num w:numId="4">
    <w:abstractNumId w:val="1"/>
  </w:num>
  <w:num w:numId="5">
    <w:abstractNumId w:val="2"/>
  </w:num>
  <w:num w:numId="6">
    <w:abstractNumId w:val="3"/>
  </w:num>
  <w:num w:numId="7">
    <w:abstractNumId w:val="4"/>
  </w:num>
  <w:num w:numId="8">
    <w:abstractNumId w:val="9"/>
  </w:num>
  <w:num w:numId="9">
    <w:abstractNumId w:val="5"/>
  </w:num>
  <w:num w:numId="10">
    <w:abstractNumId w:val="6"/>
  </w:num>
  <w:num w:numId="11">
    <w:abstractNumId w:val="7"/>
  </w:num>
  <w:num w:numId="12">
    <w:abstractNumId w:val="8"/>
  </w:num>
  <w:num w:numId="13">
    <w:abstractNumId w:val="10"/>
  </w:num>
  <w:num w:numId="14">
    <w:abstractNumId w:val="14"/>
  </w:num>
  <w:num w:numId="15">
    <w:abstractNumId w:val="0"/>
  </w:num>
  <w:num w:numId="16">
    <w:abstractNumId w:val="0"/>
  </w:num>
  <w:num w:numId="17">
    <w:abstractNumId w:val="11"/>
  </w:num>
  <w:num w:numId="18">
    <w:abstractNumId w:val="12"/>
  </w:num>
  <w:num w:numId="19">
    <w:abstractNumId w:val="11"/>
  </w:num>
  <w:num w:numId="20">
    <w:abstractNumId w:val="12"/>
  </w:num>
  <w:num w:numId="21">
    <w:abstractNumId w:val="11"/>
  </w:num>
  <w:num w:numId="22">
    <w:abstractNumId w:val="12"/>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3D44B0"/>
    <w:rsid w:val="00084144"/>
    <w:rsid w:val="00313569"/>
    <w:rsid w:val="00352BA1"/>
    <w:rsid w:val="003756FC"/>
    <w:rsid w:val="003D44B0"/>
    <w:rsid w:val="00435F1A"/>
    <w:rsid w:val="00472128"/>
    <w:rsid w:val="00506818"/>
    <w:rsid w:val="005A55BB"/>
    <w:rsid w:val="006373B0"/>
    <w:rsid w:val="00693388"/>
    <w:rsid w:val="006E6812"/>
    <w:rsid w:val="00871062"/>
    <w:rsid w:val="009E05DE"/>
    <w:rsid w:val="00BF4B6B"/>
    <w:rsid w:val="00CF1051"/>
    <w:rsid w:val="00E634E8"/>
    <w:rsid w:val="00E753DB"/>
    <w:rsid w:val="00EB1F7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5"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default="1" w:styleId="Standard" w:type="paragraph">
    <w:name w:val="Normal"/>
    <w:qFormat/>
    <w:rsid w:val="00572FF5"/>
    <w:pPr>
      <w:spacing w:after="240" w:before="120" w:line="480" w:lineRule="auto"/>
    </w:pPr>
    <w:rPr>
      <w:rFonts w:ascii="Times New Roman" w:hAnsi="Times New Roman"/>
    </w:rPr>
  </w:style>
  <w:style w:styleId="berschrift1" w:type="paragraph">
    <w:name w:val="heading 1"/>
    <w:basedOn w:val="Standard"/>
    <w:next w:val="Textkrper"/>
    <w:uiPriority w:val="9"/>
    <w:qFormat/>
    <w:rsid w:val="00572FF5"/>
    <w:pPr>
      <w:keepNext/>
      <w:keepLines/>
      <w:spacing w:after="0" w:before="480"/>
      <w:jc w:val="center"/>
      <w:outlineLvl w:val="0"/>
    </w:pPr>
    <w:rPr>
      <w:rFonts w:cstheme="majorBidi" w:eastAsiaTheme="majorEastAsia"/>
      <w:b/>
      <w:bCs/>
      <w:szCs w:val="32"/>
    </w:rPr>
  </w:style>
  <w:style w:styleId="berschrift2" w:type="paragraph">
    <w:name w:val="heading 2"/>
    <w:basedOn w:val="berschrift1"/>
    <w:next w:val="Textkrper"/>
    <w:uiPriority w:val="9"/>
    <w:unhideWhenUsed/>
    <w:qFormat/>
    <w:rsid w:val="00AB6A32"/>
    <w:pPr>
      <w:spacing w:before="200"/>
      <w:jc w:val="left"/>
      <w:outlineLvl w:val="1"/>
    </w:pPr>
    <w:rPr>
      <w:bCs w:val="0"/>
    </w:rPr>
  </w:style>
  <w:style w:styleId="berschrift3" w:type="paragraph">
    <w:name w:val="heading 3"/>
    <w:basedOn w:val="berschrift2"/>
    <w:next w:val="Standard"/>
    <w:uiPriority w:val="9"/>
    <w:unhideWhenUsed/>
    <w:qFormat/>
    <w:rsid w:val="007F2EC5"/>
    <w:pPr>
      <w:framePr w:hAnchor="text" w:vAnchor="text" w:wrap="around" w:y="1"/>
      <w:spacing w:before="0" w:line="240" w:lineRule="auto"/>
      <w:ind w:firstLine="680"/>
      <w:outlineLvl w:val="2"/>
    </w:pPr>
    <w:rPr>
      <w:bCs/>
      <w:szCs w:val="28"/>
    </w:rPr>
  </w:style>
  <w:style w:styleId="berschrift4" w:type="paragraph">
    <w:name w:val="heading 4"/>
    <w:basedOn w:val="berschrift3"/>
    <w:next w:val="Textkrper"/>
    <w:uiPriority w:val="9"/>
    <w:unhideWhenUsed/>
    <w:qFormat/>
    <w:rsid w:val="00F0724A"/>
    <w:pPr>
      <w:framePr w:wrap="around"/>
      <w:outlineLvl w:val="3"/>
    </w:pPr>
    <w:rPr>
      <w:bCs w:val="0"/>
      <w:i/>
    </w:rPr>
  </w:style>
  <w:style w:styleId="berschrift5" w:type="paragraph">
    <w:name w:val="heading 5"/>
    <w:basedOn w:val="berschrift4"/>
    <w:next w:val="Textkrper"/>
    <w:uiPriority w:val="9"/>
    <w:unhideWhenUsed/>
    <w:qFormat/>
    <w:rsid w:val="00F0724A"/>
    <w:pPr>
      <w:framePr w:wrap="around"/>
      <w:outlineLvl w:val="4"/>
    </w:pPr>
    <w:rPr>
      <w:b w:val="0"/>
      <w:iCs/>
    </w:rPr>
  </w:style>
  <w:style w:styleId="berschrift6" w:type="paragraph">
    <w:name w:val="heading 6"/>
    <w:basedOn w:val="Standard"/>
    <w:next w:val="Textkrper"/>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berschrift7" w:type="paragraph">
    <w:name w:val="heading 7"/>
    <w:basedOn w:val="Standard"/>
    <w:next w:val="Textkrper"/>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berschrift8" w:type="paragraph">
    <w:name w:val="heading 8"/>
    <w:basedOn w:val="Standard"/>
    <w:next w:val="Textkrper"/>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berschrift9" w:type="paragraph">
    <w:name w:val="heading 9"/>
    <w:basedOn w:val="Standard"/>
    <w:next w:val="Textkrper"/>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link w:val="TextkrperZchn"/>
    <w:qFormat/>
    <w:rsid w:val="005036C4"/>
    <w:pPr>
      <w:spacing w:before="180"/>
      <w:ind w:firstLine="680"/>
    </w:pPr>
  </w:style>
  <w:style w:customStyle="1" w:styleId="FirstParagraph" w:type="paragraph">
    <w:name w:val="First Paragraph"/>
    <w:basedOn w:val="Textkrper"/>
    <w:next w:val="Textkrper"/>
    <w:qFormat/>
  </w:style>
  <w:style w:customStyle="1" w:styleId="Compact" w:type="paragraph">
    <w:name w:val="Compact"/>
    <w:basedOn w:val="Textkrper"/>
    <w:qFormat/>
    <w:rsid w:val="00AF6DE6"/>
    <w:pPr>
      <w:spacing w:after="180" w:line="240" w:lineRule="auto"/>
      <w:ind w:firstLine="0"/>
    </w:pPr>
  </w:style>
  <w:style w:styleId="Titel" w:type="paragraph">
    <w:name w:val="Title"/>
    <w:basedOn w:val="Standard"/>
    <w:next w:val="Textkrper"/>
    <w:qFormat/>
    <w:rsid w:val="00186200"/>
    <w:pPr>
      <w:keepNext/>
      <w:keepLines/>
      <w:spacing w:before="2040"/>
      <w:jc w:val="center"/>
    </w:pPr>
    <w:rPr>
      <w:rFonts w:cstheme="majorBidi" w:eastAsiaTheme="majorEastAsia"/>
      <w:bCs/>
      <w:szCs w:val="36"/>
    </w:rPr>
  </w:style>
  <w:style w:styleId="Untertitel" w:type="paragraph">
    <w:name w:val="Subtitle"/>
    <w:basedOn w:val="Titel"/>
    <w:next w:val="Textkrper"/>
    <w:qFormat/>
    <w:rsid w:val="00572FF5"/>
    <w:pPr>
      <w:spacing w:before="240"/>
    </w:pPr>
    <w:rPr>
      <w:szCs w:val="30"/>
    </w:rPr>
  </w:style>
  <w:style w:customStyle="1" w:styleId="Author" w:type="paragraph">
    <w:name w:val="Author"/>
    <w:basedOn w:val="Titel"/>
    <w:next w:val="Textkrper"/>
    <w:qFormat/>
    <w:rsid w:val="00CB20D0"/>
    <w:pPr>
      <w:spacing w:before="0"/>
    </w:pPr>
  </w:style>
  <w:style w:styleId="Datum" w:type="paragraph">
    <w:name w:val="Date"/>
    <w:next w:val="Textkrper"/>
    <w:qFormat/>
    <w:pPr>
      <w:keepNext/>
      <w:keepLines/>
      <w:jc w:val="center"/>
    </w:pPr>
  </w:style>
  <w:style w:customStyle="1" w:styleId="Abstract" w:type="paragraph">
    <w:name w:val="Abstract"/>
    <w:basedOn w:val="Standard"/>
    <w:next w:val="Textkrper"/>
    <w:qFormat/>
    <w:rsid w:val="00572FF5"/>
    <w:pPr>
      <w:keepNext/>
      <w:keepLines/>
      <w:spacing w:after="300" w:before="300"/>
    </w:pPr>
    <w:rPr>
      <w:szCs w:val="20"/>
    </w:rPr>
  </w:style>
  <w:style w:styleId="Literaturverzeichnis" w:type="paragraph">
    <w:name w:val="Bibliography"/>
    <w:aliases w:val="refs"/>
    <w:basedOn w:val="Standard"/>
    <w:qFormat/>
    <w:rsid w:val="00572FF5"/>
    <w:pPr>
      <w:ind w:hanging="680" w:left="680"/>
    </w:pPr>
  </w:style>
  <w:style w:styleId="Blocktext" w:type="paragraph">
    <w:name w:val="Block Text"/>
    <w:basedOn w:val="Textkrper"/>
    <w:next w:val="Textkrper"/>
    <w:uiPriority w:val="9"/>
    <w:unhideWhenUsed/>
    <w:qFormat/>
    <w:pPr>
      <w:spacing w:after="100" w:before="100"/>
    </w:pPr>
    <w:rPr>
      <w:rFonts w:asciiTheme="majorHAnsi" w:cstheme="majorBidi" w:eastAsiaTheme="majorEastAsia" w:hAnsiTheme="majorHAnsi"/>
      <w:bCs/>
      <w:sz w:val="20"/>
      <w:szCs w:val="20"/>
    </w:rPr>
  </w:style>
  <w:style w:styleId="Funotentext" w:type="paragraph">
    <w:name w:val="footnote text"/>
    <w:basedOn w:val="Standard"/>
    <w:uiPriority w:val="9"/>
    <w:unhideWhenUsed/>
    <w:qFormat/>
    <w:rsid w:val="00925AA9"/>
    <w:pPr>
      <w:suppressLineNumbers/>
      <w:spacing w:before="0"/>
    </w:pPr>
  </w:style>
  <w:style w:customStyle="1" w:styleId="Table" w:type="table">
    <w:name w:val="Table"/>
    <w:basedOn w:val="NormaleTabelle"/>
    <w:uiPriority w:val="99"/>
    <w:rsid w:val="00435F1A"/>
    <w:pPr>
      <w:suppressLineNumbers/>
      <w:spacing w:after="240"/>
    </w:pPr>
    <w:rPr>
      <w:rFonts w:ascii="Times New Roman" w:hAnsi="Times New Roman"/>
    </w:rPr>
    <w:tblPr>
      <w:jc w:val="center"/>
      <w:tblBorders>
        <w:top w:color="auto" w:space="0" w:sz="12" w:val="single"/>
        <w:bottom w:color="auto" w:space="0" w:sz="4" w:val="single"/>
      </w:tblBorders>
    </w:tblPr>
    <w:trPr>
      <w:jc w:val="center"/>
    </w:trPr>
    <w:tcPr>
      <w:vAlign w:val="center"/>
    </w:tcPr>
    <w:tblStylePr w:type="firstRow">
      <w:tblPr/>
      <w:tcPr>
        <w:tcBorders>
          <w:top w:color="auto" w:space="0" w:sz="8" w:val="single"/>
          <w:bottom w:color="auto" w:space="0" w:sz="4" w:val="single"/>
        </w:tcBorders>
      </w:tcPr>
    </w:tblStylePr>
    <w:tblStylePr w:type="lastRow">
      <w:tblPr/>
      <w:tcPr>
        <w:tcBorders>
          <w:bottom w:color="auto" w:space="0" w:sz="4" w:val="single"/>
        </w:tcBorders>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style>
  <w:style w:styleId="Beschriftung" w:type="paragraph">
    <w:name w:val="caption"/>
    <w:basedOn w:val="Standard"/>
    <w:link w:val="BeschriftungZchn"/>
    <w:pPr>
      <w:spacing w:after="120"/>
    </w:pPr>
    <w:rPr>
      <w:i/>
    </w:rPr>
  </w:style>
  <w:style w:customStyle="1" w:styleId="TableCaption" w:type="paragraph">
    <w:name w:val="Table Caption"/>
    <w:basedOn w:val="Beschriftung"/>
    <w:rsid w:val="006E6812"/>
    <w:pPr>
      <w:keepNext/>
      <w:suppressLineNumbers/>
      <w:spacing w:before="240"/>
    </w:pPr>
    <w:rPr>
      <w:i w:val="0"/>
    </w:rPr>
  </w:style>
  <w:style w:customStyle="1" w:styleId="ImageCaption" w:type="paragraph">
    <w:name w:val="Image Caption"/>
    <w:basedOn w:val="Beschriftung"/>
    <w:rsid w:val="009E05DE"/>
    <w:pPr>
      <w:keepLines/>
      <w:suppressLineNumbers/>
      <w:spacing w:after="600"/>
    </w:pPr>
    <w:rPr>
      <w:i w:val="0"/>
    </w:rPr>
  </w:style>
  <w:style w:customStyle="1" w:styleId="Figure" w:type="paragraph">
    <w:name w:val="Figure"/>
    <w:basedOn w:val="Standard"/>
    <w:rsid w:val="003D36D1"/>
    <w:pPr>
      <w:framePr w:hAnchor="text" w:vAnchor="text" w:wrap="notBeside" w:xAlign="center" w:y="1"/>
      <w:suppressLineNumbers/>
      <w:jc w:val="center"/>
    </w:pPr>
  </w:style>
  <w:style w:customStyle="1" w:styleId="CaptionedFigure" w:type="paragraph">
    <w:name w:val="Captioned Figure"/>
    <w:basedOn w:val="Figure"/>
    <w:rsid w:val="003D36D1"/>
    <w:pPr>
      <w:keepNext/>
      <w:framePr w:wrap="notBeside"/>
      <w:spacing w:after="120" w:before="240"/>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link w:val="SourceCode"/>
    <w:rPr>
      <w:rFonts w:ascii="Consolas" w:hAnsi="Consolas"/>
      <w:sz w:val="22"/>
    </w:rPr>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4F81BD"/>
    </w:rPr>
  </w:style>
  <w:style w:styleId="Inhaltsverzeichnisberschrift" w:type="paragraph">
    <w:name w:val="TOC Heading"/>
    <w:basedOn w:val="berschrift1"/>
    <w:next w:val="Textkrper"/>
    <w:uiPriority w:val="39"/>
    <w:unhideWhenUsed/>
    <w:qFormat/>
    <w:rsid w:val="00006D3F"/>
    <w:pPr>
      <w:spacing w:after="240" w:before="240"/>
      <w:outlineLvl w:val="9"/>
    </w:pPr>
    <w:rPr>
      <w:bCs w:val="0"/>
    </w:rPr>
  </w:style>
  <w:style w:customStyle="1" w:styleId="SourceCode" w:type="paragraph">
    <w:name w:val="Source Code"/>
    <w:basedOn w:val="Standard"/>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Kopfzeile" w:type="paragraph">
    <w:name w:val="header"/>
    <w:basedOn w:val="Standard"/>
    <w:link w:val="KopfzeileZchn"/>
    <w:uiPriority w:val="99"/>
    <w:unhideWhenUsed/>
    <w:rsid w:val="00AF36ED"/>
    <w:pPr>
      <w:tabs>
        <w:tab w:pos="4536" w:val="center"/>
        <w:tab w:pos="9072" w:val="right"/>
      </w:tabs>
      <w:spacing w:after="0"/>
    </w:pPr>
  </w:style>
  <w:style w:customStyle="1" w:styleId="KopfzeileZchn" w:type="character">
    <w:name w:val="Kopfzeile Zchn"/>
    <w:basedOn w:val="Absatz-Standardschriftart"/>
    <w:link w:val="Kopfzeile"/>
    <w:uiPriority w:val="99"/>
    <w:rsid w:val="00AF36ED"/>
  </w:style>
  <w:style w:styleId="Fuzeile" w:type="paragraph">
    <w:name w:val="footer"/>
    <w:basedOn w:val="Standard"/>
    <w:link w:val="FuzeileZchn"/>
    <w:unhideWhenUsed/>
    <w:rsid w:val="00AF36ED"/>
    <w:pPr>
      <w:tabs>
        <w:tab w:pos="4536" w:val="center"/>
        <w:tab w:pos="9072" w:val="right"/>
      </w:tabs>
      <w:spacing w:after="0"/>
    </w:pPr>
  </w:style>
  <w:style w:customStyle="1" w:styleId="FuzeileZchn" w:type="character">
    <w:name w:val="Fußzeile Zchn"/>
    <w:basedOn w:val="Absatz-Standardschriftart"/>
    <w:link w:val="Fuzeile"/>
    <w:rsid w:val="00AF36ED"/>
  </w:style>
  <w:style w:styleId="Seitenzahl" w:type="character">
    <w:name w:val="page number"/>
    <w:basedOn w:val="Absatz-Standardschriftart"/>
    <w:semiHidden/>
    <w:unhideWhenUsed/>
    <w:rsid w:val="00AF36ED"/>
  </w:style>
  <w:style w:customStyle="1" w:styleId="h1-pagebreak" w:type="paragraph">
    <w:name w:val="h1-pagebreak"/>
    <w:basedOn w:val="berschrift1"/>
    <w:qFormat/>
    <w:rsid w:val="00DD5581"/>
    <w:pPr>
      <w:pageBreakBefore/>
    </w:pPr>
    <w:rPr>
      <w:b w:val="0"/>
    </w:rPr>
  </w:style>
  <w:style w:customStyle="1" w:styleId="TextkrperZchn" w:type="character">
    <w:name w:val="Textkörper Zchn"/>
    <w:basedOn w:val="Absatz-Standardschriftart"/>
    <w:link w:val="Textkrper"/>
    <w:rsid w:val="005036C4"/>
    <w:rPr>
      <w:rFonts w:ascii="Times New Roman" w:hAnsi="Times New Roman"/>
    </w:rPr>
  </w:style>
  <w:style w:styleId="Tabellenraster" w:type="table">
    <w:name w:val="Table Grid"/>
    <w:basedOn w:val="NormaleTabelle"/>
    <w:rsid w:val="00006D3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Gitternetztabelle1hell" w:type="table">
    <w:name w:val="Grid Table 1 Light"/>
    <w:basedOn w:val="NormaleTabelle"/>
    <w:rsid w:val="00006D3F"/>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EinfacheTabelle2" w:type="table">
    <w:name w:val="Plain Table 2"/>
    <w:basedOn w:val="NormaleTabelle"/>
    <w:rsid w:val="00006D3F"/>
    <w:pPr>
      <w:spacing w:after="0"/>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EinfacheTabelle1" w:type="table">
    <w:name w:val="Plain Table 1"/>
    <w:basedOn w:val="NormaleTabelle"/>
    <w:rsid w:val="00006D3F"/>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Buchtitel" w:type="character">
    <w:name w:val="Book Title"/>
    <w:basedOn w:val="Absatz-Standardschriftart"/>
    <w:rsid w:val="00F14702"/>
    <w:rPr>
      <w:b/>
      <w:bCs/>
      <w:i/>
      <w:iCs/>
      <w:spacing w:val="5"/>
    </w:rPr>
  </w:style>
  <w:style w:customStyle="1" w:styleId="h1-titlepage" w:type="paragraph">
    <w:name w:val="h1-titlepage"/>
    <w:basedOn w:val="h1-pagebreak"/>
    <w:qFormat/>
    <w:rsid w:val="00A05772"/>
    <w:rPr>
      <w:b/>
    </w:rPr>
  </w:style>
  <w:style w:customStyle="1" w:styleId="table-note" w:type="paragraph">
    <w:name w:val="table-note"/>
    <w:basedOn w:val="Compact"/>
    <w:qFormat/>
    <w:rsid w:val="003D36D1"/>
    <w:pPr>
      <w:suppressLineNumbers/>
    </w:pPr>
  </w:style>
  <w:style w:styleId="Zeilennummer" w:type="character">
    <w:name w:val="line number"/>
    <w:basedOn w:val="Absatz-Standardschriftart"/>
    <w:semiHidden/>
    <w:unhideWhenUsed/>
    <w:rsid w:val="003D36D1"/>
  </w:style>
  <w:style w:customStyle="1" w:styleId="authornote" w:type="paragraph">
    <w:name w:val="authornote"/>
    <w:basedOn w:val="Textkrper"/>
    <w:qFormat/>
    <w:rsid w:val="00EB1F7E"/>
    <w:pPr>
      <w:framePr w:hAnchor="text" w:wrap="notBeside" w:yAlign="bottom"/>
    </w:pPr>
  </w:style>
  <w:style w:customStyle="1" w:styleId="authornote-title" w:type="paragraph">
    <w:name w:val="authornote-title"/>
    <w:basedOn w:val="Author"/>
    <w:qFormat/>
    <w:rsid w:val="00EB1F7E"/>
    <w:pPr>
      <w:framePr w:hAnchor="text" w:wrap="notBeside" w:yAlign="bottom"/>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8" Target="header1.xml" Type="http://schemas.openxmlformats.org/officeDocument/2006/relationships/header" /><Relationship Id="rId10" Target="header3.xml" Type="http://schemas.openxmlformats.org/officeDocument/2006/relationships/header" /><Relationship Id="rId9" Target="header2.xml" Type="http://schemas.openxmlformats.org/officeDocument/2006/relationships/header" /><Relationship Type="http://schemas.openxmlformats.org/officeDocument/2006/relationships/image" Id="rId29" Target="media/rId29.png" /><Relationship Type="http://schemas.openxmlformats.org/officeDocument/2006/relationships/image" Id="rId35" Target="media/rId35.png" /><Relationship Type="http://schemas.openxmlformats.org/officeDocument/2006/relationships/hyperlink" Id="rId116" Target="https://doi.org/10.1016/0010-0277(96)00709-3" TargetMode="External" /><Relationship Type="http://schemas.openxmlformats.org/officeDocument/2006/relationships/hyperlink" Id="rId92" Target="https://doi.org/10.1016/0885-2014(94)90019-1" TargetMode="External" /><Relationship Type="http://schemas.openxmlformats.org/officeDocument/2006/relationships/hyperlink" Id="rId73" Target="https://doi.org/10.1017/S0305000926100749" TargetMode="External" /><Relationship Type="http://schemas.openxmlformats.org/officeDocument/2006/relationships/hyperlink" Id="rId121" Target="https://doi.org/10.1037/xlm0000967" TargetMode="External" /><Relationship Type="http://schemas.openxmlformats.org/officeDocument/2006/relationships/hyperlink" Id="rId118" Target="https://doi.org/10.1111/1467-9280.00403" TargetMode="External" /><Relationship Type="http://schemas.openxmlformats.org/officeDocument/2006/relationships/hyperlink" Id="rId98" Target="https://doi.org/10.1111/j.1467-7687.2007.00585.x" TargetMode="External" /><Relationship Type="http://schemas.openxmlformats.org/officeDocument/2006/relationships/hyperlink" Id="rId89" Target="https://doi.org/10.1111/j.1467-8624.2004.00728.x" TargetMode="External" /><Relationship Type="http://schemas.openxmlformats.org/officeDocument/2006/relationships/hyperlink" Id="rId123" Target="https://doi.org/10.1177/0142723706060744" TargetMode="External" /><Relationship Type="http://schemas.openxmlformats.org/officeDocument/2006/relationships/hyperlink" Id="rId85" Target="https://doi.org/10.1177/014272379701705102" TargetMode="External" /><Relationship Type="http://schemas.openxmlformats.org/officeDocument/2006/relationships/hyperlink" Id="rId108" Target="https://doi.org/10.1177/0956797610389189" TargetMode="External" /><Relationship Type="http://schemas.openxmlformats.org/officeDocument/2006/relationships/hyperlink" Id="rId110" Target="https://doi.org/10.1348/026151099165131" TargetMode="External" /><Relationship Type="http://schemas.openxmlformats.org/officeDocument/2006/relationships/hyperlink" Id="rId95" Target="https://doi.org/10.3389/fpsyg.2010.00194" TargetMode="External" /><Relationship Type="http://schemas.openxmlformats.org/officeDocument/2006/relationships/hyperlink" Id="rId101" Target="https://doi.org/10.3758/s13428-012-0210-4" TargetMode="External" /><Relationship Type="http://schemas.openxmlformats.org/officeDocument/2006/relationships/hyperlink" Id="rId114" Target="https://doi.org/10.3758/s13428-018-1099-3" TargetMode="External" /><Relationship Type="http://schemas.openxmlformats.org/officeDocument/2006/relationships/hyperlink" Id="rId83" Target="https://doi.org/10.7551/mitpress/11577.001.0001" TargetMode="External" /><Relationship Type="http://schemas.openxmlformats.org/officeDocument/2006/relationships/hyperlink" Id="rId19" Target="https://osf.io/6fu8z/" TargetMode="External" /><Relationship Type="http://schemas.openxmlformats.org/officeDocument/2006/relationships/hyperlink" Id="rId20" Target="https://osf.io/6fu8z/overview?view_only=993576c5a77d463490101b94f23d7ae3" TargetMode="External" /><Relationship Type="http://schemas.openxmlformats.org/officeDocument/2006/relationships/hyperlink" Id="rId21" Target="mailto:my@email.com" TargetMode="External" /></Relationships>
</file>

<file path=word/_rels/footnotes.xml.rels><?xml version="1.0" encoding="UTF-8"?><Relationships xmlns="http://schemas.openxmlformats.org/package/2006/relationships"><Relationship Type="http://schemas.openxmlformats.org/officeDocument/2006/relationships/hyperlink" Id="rId116" Target="https://doi.org/10.1016/0010-0277(96)00709-3" TargetMode="External" /><Relationship Type="http://schemas.openxmlformats.org/officeDocument/2006/relationships/hyperlink" Id="rId92" Target="https://doi.org/10.1016/0885-2014(94)90019-1" TargetMode="External" /><Relationship Type="http://schemas.openxmlformats.org/officeDocument/2006/relationships/hyperlink" Id="rId73" Target="https://doi.org/10.1017/S0305000926100749" TargetMode="External" /><Relationship Type="http://schemas.openxmlformats.org/officeDocument/2006/relationships/hyperlink" Id="rId121" Target="https://doi.org/10.1037/xlm0000967" TargetMode="External" /><Relationship Type="http://schemas.openxmlformats.org/officeDocument/2006/relationships/hyperlink" Id="rId118" Target="https://doi.org/10.1111/1467-9280.00403" TargetMode="External" /><Relationship Type="http://schemas.openxmlformats.org/officeDocument/2006/relationships/hyperlink" Id="rId98" Target="https://doi.org/10.1111/j.1467-7687.2007.00585.x" TargetMode="External" /><Relationship Type="http://schemas.openxmlformats.org/officeDocument/2006/relationships/hyperlink" Id="rId89" Target="https://doi.org/10.1111/j.1467-8624.2004.00728.x" TargetMode="External" /><Relationship Type="http://schemas.openxmlformats.org/officeDocument/2006/relationships/hyperlink" Id="rId123" Target="https://doi.org/10.1177/0142723706060744" TargetMode="External" /><Relationship Type="http://schemas.openxmlformats.org/officeDocument/2006/relationships/hyperlink" Id="rId85" Target="https://doi.org/10.1177/014272379701705102" TargetMode="External" /><Relationship Type="http://schemas.openxmlformats.org/officeDocument/2006/relationships/hyperlink" Id="rId108" Target="https://doi.org/10.1177/0956797610389189" TargetMode="External" /><Relationship Type="http://schemas.openxmlformats.org/officeDocument/2006/relationships/hyperlink" Id="rId110" Target="https://doi.org/10.1348/026151099165131" TargetMode="External" /><Relationship Type="http://schemas.openxmlformats.org/officeDocument/2006/relationships/hyperlink" Id="rId95" Target="https://doi.org/10.3389/fpsyg.2010.00194" TargetMode="External" /><Relationship Type="http://schemas.openxmlformats.org/officeDocument/2006/relationships/hyperlink" Id="rId101" Target="https://doi.org/10.3758/s13428-012-0210-4" TargetMode="External" /><Relationship Type="http://schemas.openxmlformats.org/officeDocument/2006/relationships/hyperlink" Id="rId114" Target="https://doi.org/10.3758/s13428-018-1099-3" TargetMode="External" /><Relationship Type="http://schemas.openxmlformats.org/officeDocument/2006/relationships/hyperlink" Id="rId83" Target="https://doi.org/10.7551/mitpress/11577.001.0001" TargetMode="External" /><Relationship Type="http://schemas.openxmlformats.org/officeDocument/2006/relationships/hyperlink" Id="rId19" Target="https://osf.io/6fu8z/" TargetMode="External" /><Relationship Type="http://schemas.openxmlformats.org/officeDocument/2006/relationships/hyperlink" Id="rId20" Target="https://osf.io/6fu8z/overview?view_only=993576c5a77d463490101b94f23d7ae3" TargetMode="External" /><Relationship Type="http://schemas.openxmlformats.org/officeDocument/2006/relationships/hyperlink" Id="rId21" Target="mailto:my@e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0</Words>
  <Characters>1</Characters>
  <Application>Microsoft Office Word</Application>
  <DocSecurity>0</DocSecurity>
  <Lines>1</Lines>
  <Paragraphs>1</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Shape is a good cue when it’s present”: lexical statistics of early nouns in English and Korean</dc:title>
  <dc:creator/>
  <dc:language>en-US</dc:language>
  <cp:keywords/>
  <dcterms:created xsi:type="dcterms:W3CDTF">2026-08-28T16:50:37Z</dcterms:created>
  <dcterms:modified xsi:type="dcterms:W3CDTF">2026-08-28T16:50:37Z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lways_allow_html">
    <vt:lpwstr>True</vt:lpwstr>
  </property>
  <property fmtid="{D5CDD505-2E9C-101B-9397-08002B2CF9AE}" pid="4" name="authornote">
    <vt:lpwstr>The authors declare no competing interests.All data, experiment materials, and analysis code are publicly available at https://osf.io/6fu8z/ (anonymized review link: https://osf.io/6fu8z/overview?view_only=993576c5a77d463490101b94f23d7ae3).</vt:lpwstr>
  </property>
  <property fmtid="{D5CDD505-2E9C-101B-9397-08002B2CF9AE}" pid="5" name="bibliography">
    <vt:lpwstr/>
  </property>
  <property fmtid="{D5CDD505-2E9C-101B-9397-08002B2CF9AE}" pid="6" name="classoption">
    <vt:lpwstr>man</vt:lpwstr>
  </property>
  <property fmtid="{D5CDD505-2E9C-101B-9397-08002B2CF9AE}" pid="7" name="csl">
    <vt:lpwstr>/Users/samahabdelrahim/git-repos/Lexical_Stats_project/writeup/apa6.csl</vt:lpwstr>
  </property>
  <property fmtid="{D5CDD505-2E9C-101B-9397-08002B2CF9AE}" pid="8" name="draft">
    <vt:lpwstr>False</vt:lpwstr>
  </property>
  <property fmtid="{D5CDD505-2E9C-101B-9397-08002B2CF9AE}" pid="9" name="fig_caption">
    <vt:lpwstr>True</vt:lpwstr>
  </property>
  <property fmtid="{D5CDD505-2E9C-101B-9397-08002B2CF9AE}" pid="10" name="figsintext">
    <vt:lpwstr>True</vt:lpwstr>
  </property>
  <property fmtid="{D5CDD505-2E9C-101B-9397-08002B2CF9AE}" pid="11" name="figurelist">
    <vt:lpwstr>False</vt:lpwstr>
  </property>
  <property fmtid="{D5CDD505-2E9C-101B-9397-08002B2CF9AE}" pid="12" name="floatsintext">
    <vt:lpwstr>True</vt:lpwstr>
  </property>
  <property fmtid="{D5CDD505-2E9C-101B-9397-08002B2CF9AE}" pid="13" name="footnotelist">
    <vt:lpwstr>False</vt:lpwstr>
  </property>
  <property fmtid="{D5CDD505-2E9C-101B-9397-08002B2CF9AE}" pid="14" name="header-includes">
    <vt:lpwstr/>
  </property>
  <property fmtid="{D5CDD505-2E9C-101B-9397-08002B2CF9AE}" pid="15" name="linenumbers">
    <vt:lpwstr>True</vt:lpwstr>
  </property>
  <property fmtid="{D5CDD505-2E9C-101B-9397-08002B2CF9AE}" pid="16" name="mask">
    <vt:lpwstr>False</vt:lpwstr>
  </property>
  <property fmtid="{D5CDD505-2E9C-101B-9397-08002B2CF9AE}" pid="17" name="output">
    <vt:lpwstr>papaja::apa6_docx</vt:lpwstr>
  </property>
  <property fmtid="{D5CDD505-2E9C-101B-9397-08002B2CF9AE}" pid="18" name="shorttitle">
    <vt:lpwstr>A good cue, not a common one</vt:lpwstr>
  </property>
  <property fmtid="{D5CDD505-2E9C-101B-9397-08002B2CF9AE}" pid="19" name="tablelist">
    <vt:lpwstr>False</vt:lpwstr>
  </property>
  <property fmtid="{D5CDD505-2E9C-101B-9397-08002B2CF9AE}" pid="20" name="toc">
    <vt:lpwstr>False</vt:lpwstr>
  </property>
  <property fmtid="{D5CDD505-2E9C-101B-9397-08002B2CF9AE}" pid="21" name="wordcount">
    <vt:lpwstr>~8246 (papaja count, text body excluding references)</vt:lpwstr>
  </property>
</Properties>
</file>