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sz w:val="40"/>
          <w:szCs w:val="40"/>
        </w:rPr>
        <w:t xml:space="preserve">ANCHORED ALPHA</w:t>
      </w:r>
    </w:p>
    <w:p>
      <w:pPr>
        <w:spacing w:before="80" w:after="160"/>
        <w:jc w:val="center"/>
      </w:pPr>
      <w:r>
        <w:rPr>
          <w:rFonts w:ascii="Arial" w:cs="Arial" w:eastAsia="Arial" w:hAnsi="Arial"/>
          <w:b/>
          <w:bCs/>
          <w:sz w:val="28"/>
          <w:szCs w:val="28"/>
        </w:rPr>
        <w:t xml:space="preserve">A Framework for Disciplined Value Creation in Private Equity</w:t>
      </w:r>
    </w:p>
    <w:p>
      <w:pPr>
        <w:spacing w:before="80" w:after="200"/>
        <w:jc w:val="center"/>
      </w:pPr>
      <w:r>
        <w:rPr>
          <w:rFonts w:ascii="Arial" w:cs="Arial" w:eastAsia="Arial" w:hAnsi="Arial"/>
          <w:b w:val="false"/>
          <w:bCs w:val="false"/>
          <w:sz w:val="22"/>
          <w:szCs w:val="22"/>
        </w:rPr>
        <w:t xml:space="preserve">Valuation Floor Anchoring and Structured Pre-Mortem Analysis as Alpha Sources
in a Post-Engineering Market — With Application to the Indian PE Context</w:t>
      </w:r>
    </w:p>
    <w:p>
      <w:pPr>
        <w:spacing w:before="80" w:after="320"/>
        <w:jc w:val="center"/>
      </w:pPr>
      <w:r>
        <w:rPr>
          <w:rFonts w:ascii="Arial" w:cs="Arial" w:eastAsia="Arial" w:hAnsi="Arial"/>
          <w:b w:val="false"/>
          <w:bCs w:val="false"/>
          <w:sz w:val="20"/>
          <w:szCs w:val="20"/>
        </w:rPr>
        <w:t xml:space="preserve">Version 4.0 — Final Revised Edition</w:t>
      </w:r>
    </w:p>
    <w:p>
      <w:pPr>
        <w:spacing w:before="80" w:after="80"/>
        <w:jc w:val="center"/>
      </w:pPr>
      <w:r>
        <w:rPr>
          <w:rFonts w:ascii="Arial" w:cs="Arial" w:eastAsia="Arial" w:hAnsi="Arial"/>
          <w:b/>
          <w:bCs/>
          <w:sz w:val="26"/>
          <w:szCs w:val="26"/>
        </w:rPr>
        <w:t xml:space="preserve">Samaksh Sha</w:t>
      </w:r>
    </w:p>
    <w:p>
      <w:pPr>
        <w:spacing w:before="80" w:after="60"/>
        <w:jc w:val="center"/>
      </w:pPr>
      <w:r>
        <w:rPr>
          <w:rFonts w:ascii="Arial" w:cs="Arial" w:eastAsia="Arial" w:hAnsi="Arial"/>
          <w:b w:val="false"/>
          <w:bCs w:val="false"/>
          <w:sz w:val="20"/>
          <w:szCs w:val="20"/>
        </w:rPr>
        <w:t xml:space="preserve">BBA (Accounting &amp; Finance) | Major: Finance | Minor: Economics</w:t>
      </w:r>
    </w:p>
    <w:p>
      <w:pPr>
        <w:spacing w:before="80" w:after="60"/>
        <w:jc w:val="center"/>
      </w:pPr>
      <w:r>
        <w:rPr>
          <w:rFonts w:ascii="Arial" w:cs="Arial" w:eastAsia="Arial" w:hAnsi="Arial"/>
          <w:b w:val="false"/>
          <w:bCs w:val="false"/>
          <w:sz w:val="20"/>
          <w:szCs w:val="20"/>
        </w:rPr>
        <w:t xml:space="preserve">FLAME University, Pune, India | CFA Level I Candidate</w:t>
      </w:r>
    </w:p>
    <w:p>
      <w:pPr>
        <w:spacing w:before="80" w:after="80"/>
        <w:jc w:val="center"/>
      </w:pPr>
      <w:r>
        <w:rPr>
          <w:rFonts w:ascii="Arial" w:cs="Arial" w:eastAsia="Arial" w:hAnsi="Arial"/>
          <w:b w:val="false"/>
          <w:bCs w:val="false"/>
          <w:sz w:val="18"/>
          <w:szCs w:val="18"/>
        </w:rPr>
        <w:t xml:space="preserve">samakshsha@gmail.com | linkedin.com/in/samaksh-sha-a89203270</w:t>
      </w:r>
    </w:p>
    <w:p>
      <w:pPr>
        <w:spacing w:before="80" w:after="400"/>
        <w:jc w:val="center"/>
      </w:pPr>
      <w:r>
        <w:rPr>
          <w:rFonts w:ascii="Arial" w:cs="Arial" w:eastAsia="Arial" w:hAnsi="Arial"/>
          <w:b w:val="false"/>
          <w:bCs w:val="false"/>
          <w:sz w:val="20"/>
          <w:szCs w:val="20"/>
        </w:rPr>
        <w:t xml:space="preserve">March 2026</w:t>
      </w:r>
    </w:p>
    <w:p>
      <w:r>
        <w:br w:type="page"/>
      </w:r>
    </w:p>
    <w:p>
      <w:pPr>
        <w:pStyle w:val="Heading1"/>
        <w:spacing w:before="200" w:after="120"/>
        <w:jc w:val="left"/>
      </w:pPr>
      <w:r>
        <w:rPr>
          <w:rFonts w:ascii="Arial" w:cs="Arial" w:eastAsia="Arial" w:hAnsi="Arial"/>
          <w:b/>
          <w:bCs/>
          <w:sz w:val="26"/>
          <w:szCs w:val="26"/>
        </w:rPr>
        <w:t xml:space="preserve">Abstract</w:t>
      </w:r>
    </w:p>
    <w:p>
      <w:pPr>
        <w:spacing w:before="80" w:after="80"/>
        <w:jc w:val="left"/>
      </w:pPr>
      <w:r>
        <w:rPr>
          <w:rFonts w:ascii="Arial" w:cs="Arial" w:eastAsia="Arial" w:hAnsi="Arial"/>
          <w:b w:val="false"/>
          <w:bCs w:val="false"/>
          <w:sz w:val="20"/>
          <w:szCs w:val="20"/>
        </w:rPr>
        <w:t xml:space="preserve">The private equity industry is navigating a structural transition away from leverage-led and multiple-expansion-driven returns. With median buyout purchase multiples reaching 11.8x EBITDA in 2025, average holding periods exceeding 6.5 years, and the Cambridge Associates US Private Equity Index delivering mid-single-digit returns in recent years — well below the 20%+ IRRs of earlier vintages — the case for operational discipline as the primary source of alpha has become empirically robust.</w:t>
      </w:r>
    </w:p>
    <w:p>
      <w:pPr>
        <w:spacing w:before="80" w:after="80"/>
        <w:jc w:val="left"/>
      </w:pPr>
      <w:r>
        <w:rPr>
          <w:rFonts w:ascii="Arial" w:cs="Arial" w:eastAsia="Arial" w:hAnsi="Arial"/>
          <w:b w:val="false"/>
          <w:bCs w:val="false"/>
          <w:sz w:val="20"/>
          <w:szCs w:val="20"/>
        </w:rPr>
        <w:t xml:space="preserve">This paper argues that disciplined process — specifically, valuation floor anchoring and structured pre-mortem scenario analysis — represents a reproducible source of investment alpha in this environment. The paper develops the Anchored Alpha Framework (AAF): a five-stage decision architecture that places floor establishment, not upside modelling, at the centre of every underwriting process.</w:t>
      </w:r>
    </w:p>
    <w:p>
      <w:pPr>
        <w:spacing w:before="80" w:after="80"/>
        <w:jc w:val="left"/>
      </w:pPr>
      <w:r>
        <w:rPr>
          <w:rFonts w:ascii="Arial" w:cs="Arial" w:eastAsia="Arial" w:hAnsi="Arial"/>
          <w:b w:val="false"/>
          <w:bCs w:val="false"/>
          <w:sz w:val="20"/>
          <w:szCs w:val="20"/>
        </w:rPr>
        <w:t xml:space="preserve">Version 4.0 of this paper incorporates four substantive upgrades over the prior version: (1) a Monte Carlo simulation (100,000 iterations, calibrated to Guo, Hotchkiss &amp; Song (2011) and Demiroglu &amp; James (2010)) that formally grounds the MoS Uplift range of 20–35% and validates the 200bps monitoring trigger threshold; (2) a three-tier parameter classification system distinguishing Simulation-Derived [TIER-1], Academically Grounded [TIER-2], and Calibrated Heuristic [TIER-3] parameters throughout; (3) replacement of consultant-report sources with peer-reviewed academic equivalents wherever available, with explicit disclosure of remaining practitioner-sourced data; and (4) a new Section 5.4 applying the AAF to the Indian private equity context, including regulatory grounding in SEBI AIF and RBI Prudential Framework, Indian-specific deal archetypes including the promoter buyout, and a fully worked numerical example in Indian Rupees.</w:t>
      </w:r>
    </w:p>
    <w:p>
      <w:pPr>
        <w:spacing w:before="80" w:after="80"/>
        <w:jc w:val="left"/>
      </w:pPr>
      <w:r>
        <w:rPr>
          <w:rFonts w:ascii="Arial" w:cs="Arial" w:eastAsia="Arial" w:hAnsi="Arial"/>
          <w:b w:val="false"/>
          <w:bCs w:val="false"/>
          <w:sz w:val="20"/>
          <w:szCs w:val="20"/>
        </w:rPr>
        <w:t xml:space="preserve">The paper is written in the Indian context because the author is based in India and intends the framework to be practically applicable to Indian PE. The core academic foundations remain Western — because the equivalent Indian peer-reviewed literature does not yet exist at the required level of methodological rigour — but Section 5.4 articulates exactly where Indian market conditions require parameter adjustment and where Western baselines remain applicable.</w:t>
      </w:r>
    </w:p>
    <w:p>
      <w:pPr>
        <w:spacing w:before="80" w:after="80"/>
        <w:jc w:val="left"/>
      </w:pPr>
      <w:r>
        <w:rPr>
          <w:rFonts w:ascii="Arial" w:cs="Arial" w:eastAsia="Arial" w:hAnsi="Arial"/>
          <w:b w:val="false"/>
          <w:bCs w:val="false"/>
          <w:sz w:val="20"/>
          <w:szCs w:val="20"/>
        </w:rPr>
        <w:t xml:space="preserve">The framework's contribution is explicitly the synthesis, sequencing, and contextualised application of established tools — not foundational innovation — and the paper is precise about that distinction from the outset.</w:t>
      </w:r>
    </w:p>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Keywords</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Private Equity, Value Creation, Valuation Floor, Margin of Safety, Pre-Mortem, Covenant Mechanics, Operational Alpha, Downside Protection, GP Incentives, LP Accountability, Deployment Pressure, Base Rate Calibration, Indian PE, SEBI AIF, Promoter Buyout, Monte Carlo Simulation</w:t>
            </w:r>
          </w:p>
        </w:tc>
      </w:tr>
    </w:tbl>
    <w:p>
      <w:pPr>
        <w:spacing w:before="20" w:after="20"/>
        <w:jc w:val="left"/>
      </w:pPr>
      <w:r>
        <w:rPr>
          <w:rFonts w:ascii="Arial" w:cs="Arial" w:eastAsia="Arial" w:hAnsi="Arial"/>
          <w:b w:val="false"/>
          <w:bCs w:val="false"/>
          <w:sz w:val="8"/>
          <w:szCs w:val="8"/>
        </w:rPr>
        <w:t xml:space="preserve"> </w:t>
      </w:r>
    </w:p>
    <w:p>
      <w:r>
        <w:br w:type="page"/>
      </w:r>
    </w:p>
    <w:p>
      <w:pPr>
        <w:spacing w:before="160" w:after="80"/>
        <w:jc w:val="left"/>
      </w:pPr>
      <w:r>
        <w:rPr>
          <w:rFonts w:ascii="Arial" w:cs="Arial" w:eastAsia="Arial" w:hAnsi="Arial"/>
          <w:b/>
          <w:bCs/>
          <w:sz w:val="22"/>
          <w:szCs w:val="22"/>
        </w:rPr>
        <w:t xml:space="preserve">Parameter Classification System</w:t>
      </w:r>
    </w:p>
    <w:p>
      <w:pPr>
        <w:spacing w:before="80" w:after="80"/>
        <w:jc w:val="left"/>
      </w:pPr>
      <w:r>
        <w:rPr>
          <w:rFonts w:ascii="Arial" w:cs="Arial" w:eastAsia="Arial" w:hAnsi="Arial"/>
          <w:b w:val="false"/>
          <w:bCs w:val="false"/>
          <w:sz w:val="18"/>
          <w:szCs w:val="18"/>
        </w:rPr>
        <w:t xml:space="preserve">Throughout this paper, every quantitative parameter is classified into one of three tiers. This classification is a direct response to peer-review criticism that prior versions dressed up estimated heuristics as formal derivations.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Tier</w:t>
            </w:r>
          </w:p>
        </w:tc>
        <w:tc>
          <w:tcPr>
            <w:tcW w:type="dxa" w:w="2000"/>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Label</w:t>
            </w:r>
          </w:p>
        </w:tc>
        <w:tc>
          <w:tcPr>
            <w:tcW w:type="dxa" w:w="6160"/>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Definition</w:t>
            </w:r>
          </w:p>
        </w:tc>
      </w:tr>
      <w:tr>
        <w:tc>
          <w:tcPr>
            <w:tcW w:type="dxa" w:w="1200"/>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w:t>
            </w:r>
          </w:p>
        </w:tc>
        <w:tc>
          <w:tcPr>
            <w:tcW w:type="dxa" w:w="2000"/>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SIMULATION-DERIVED</w:t>
            </w:r>
          </w:p>
        </w:tc>
        <w:tc>
          <w:tcPr>
            <w:tcW w:type="dxa" w:w="61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Parameter computed directly from the Monte Carlo simulation in this paper, calibrated to peer-reviewed academic data.</w:t>
            </w:r>
          </w:p>
        </w:tc>
      </w:tr>
      <w:tr>
        <w:tc>
          <w:tcPr>
            <w:tcW w:type="dxa" w:w="12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w:t>
            </w:r>
          </w:p>
        </w:tc>
        <w:tc>
          <w:tcPr>
            <w:tcW w:type="dxa" w:w="20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ACADEMICALLY GROUNDED</w:t>
            </w:r>
          </w:p>
        </w:tc>
        <w:tc>
          <w:tcPr>
            <w:tcW w:type="dxa" w:w="61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Parameter taken directly from a peer-reviewed academic journal article. Source cited immediately.</w:t>
            </w:r>
          </w:p>
        </w:tc>
      </w:tr>
      <w:tr>
        <w:tc>
          <w:tcPr>
            <w:tcW w:type="dxa" w:w="12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w:t>
            </w:r>
          </w:p>
        </w:tc>
        <w:tc>
          <w:tcPr>
            <w:tcW w:type="dxa" w:w="2000"/>
            <w:gridSpan w:val="1"/>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CALIBRATED HEURISTIC</w:t>
            </w:r>
          </w:p>
        </w:tc>
        <w:tc>
          <w:tcPr>
            <w:tcW w:type="dxa" w:w="61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Parameter is a reasonable practitioner estimate that cannot be precisely derived from available academic data. Clearly labelled as such. Addressed in the Limitations section.</w:t>
            </w:r>
          </w:p>
        </w:tc>
      </w:tr>
    </w:tbl>
    <w:p>
      <w:pPr>
        <w:spacing w:before="20" w:after="20"/>
        <w:jc w:val="left"/>
      </w:pPr>
      <w:r>
        <w:rPr>
          <w:rFonts w:ascii="Arial" w:cs="Arial" w:eastAsia="Arial" w:hAnsi="Arial"/>
          <w:b w:val="false"/>
          <w:bCs w:val="false"/>
          <w:sz w:val="8"/>
          <w:szCs w:val="8"/>
        </w:rPr>
        <w:t xml:space="preserve"> </w:t>
      </w:r>
    </w:p>
    <w:p>
      <w:r>
        <w:br w:type="page"/>
      </w:r>
    </w:p>
    <w:p>
      <w:pPr>
        <w:pStyle w:val="Heading1"/>
        <w:spacing w:before="200" w:after="120"/>
        <w:jc w:val="left"/>
      </w:pPr>
      <w:r>
        <w:rPr>
          <w:rFonts w:ascii="Arial" w:cs="Arial" w:eastAsia="Arial" w:hAnsi="Arial"/>
          <w:b/>
          <w:bCs/>
          <w:sz w:val="28"/>
          <w:szCs w:val="28"/>
        </w:rPr>
        <w:t xml:space="preserve">1. Introduction</w:t>
      </w:r>
    </w:p>
    <w:p>
      <w:pPr>
        <w:spacing w:before="80" w:after="80"/>
        <w:jc w:val="left"/>
      </w:pPr>
      <w:r>
        <w:rPr>
          <w:rFonts w:ascii="Arial" w:cs="Arial" w:eastAsia="Arial" w:hAnsi="Arial"/>
          <w:b w:val="false"/>
          <w:bCs w:val="false"/>
          <w:sz w:val="20"/>
          <w:szCs w:val="20"/>
        </w:rPr>
        <w:t xml:space="preserve">Private equity has always adapted its source of alpha as conditions change. In the 1980s, alpha came from leverage arbitrage applied to overlooked conglomerates. Through the 2010s, historically low rates and directional multiple expansion allowed even average deal execution to generate outsized equity returns. The question for the current decade is sharper: in an environment where the leverage advantage has structurally compressed, where multiple expansion is no longer directional, and where deployment pressure from ageing dry powder creates systematic incentives to over-pay, where does durable alpha come from?</w:t>
      </w:r>
    </w:p>
    <w:p>
      <w:pPr>
        <w:spacing w:before="80" w:after="80"/>
        <w:jc w:val="left"/>
      </w:pPr>
      <w:r>
        <w:rPr>
          <w:rFonts w:ascii="Arial" w:cs="Arial" w:eastAsia="Arial" w:hAnsi="Arial"/>
          <w:b w:val="false"/>
          <w:bCs w:val="false"/>
          <w:sz w:val="20"/>
          <w:szCs w:val="20"/>
        </w:rPr>
        <w:t xml:space="preserve">The empirical evidence is convergent. Acharya, Gottschalg, Hahn &amp; Kehoe (2013) — studying 395 private equity investments in their Review of Financial Studies sample — found that GPs with genuine operational expertise achieved IRRs two to three percentage points above their peers, with the differential attributable specifically to operational improvements rather than financial engineering. [TIER-2 parameter: 200–300 bps operational alpha differential, sourced from Acharya et al. (2013), Table 4.] Cambridge Associates' US Private Equity Index earned 8.1% for calendar year 2024 and 9.3% for 2023 — meaningful but substantially below the vintage-year IRRs of the 2000s and early 2010s.</w:t>
      </w:r>
    </w:p>
    <w:p>
      <w:pPr>
        <w:spacing w:before="80" w:after="80"/>
        <w:jc w:val="left"/>
      </w:pPr>
      <w:r>
        <w:rPr>
          <w:rFonts w:ascii="Arial" w:cs="Arial" w:eastAsia="Arial" w:hAnsi="Arial"/>
          <w:b w:val="false"/>
          <w:bCs w:val="false"/>
          <w:sz w:val="20"/>
          <w:szCs w:val="20"/>
        </w:rPr>
        <w:t xml:space="preserve">This paper proposes that the process discipline required to generate consistent returns in the current environment can be systematised into a five-stage decision architecture — the Anchored Alpha Framework (AAF). The framework is grounded in two core intellectual commitments: first, that the minimum defensible value of a business must be established before any upside analysis is conducted; and second, that the most consequential risks in any PE investment are best surfaced through a structured pre-mortem that forces the investor to imagine failure before it occurs.</w:t>
      </w:r>
    </w:p>
    <w:p>
      <w:pPr>
        <w:spacing w:before="80" w:after="80"/>
        <w:jc w:val="left"/>
      </w:pPr>
      <w:r>
        <w:rPr>
          <w:rFonts w:ascii="Arial" w:cs="Arial" w:eastAsia="Arial" w:hAnsi="Arial"/>
          <w:b w:val="false"/>
          <w:bCs w:val="false"/>
          <w:sz w:val="20"/>
          <w:szCs w:val="20"/>
        </w:rPr>
        <w:t xml:space="preserve">These are not original ideas. The margin-of-safety concept originates with Graham (1949) and was developed most rigorously in the PE context by Klarman (1991). The pre-mortem technique was introduced by Klein (1998). The AAF's contribution is synthesis, sequencing, and application to the specific institutional pressures of the 2025–2026 PE environment.</w:t>
      </w:r>
    </w:p>
    <w:p>
      <w:pPr>
        <w:spacing w:before="80" w:after="80"/>
        <w:jc w:val="left"/>
      </w:pPr>
      <w:r>
        <w:rPr>
          <w:rFonts w:ascii="Arial" w:cs="Arial" w:eastAsia="Arial" w:hAnsi="Arial"/>
          <w:b w:val="false"/>
          <w:bCs w:val="false"/>
          <w:sz w:val="20"/>
          <w:szCs w:val="20"/>
        </w:rPr>
        <w:t xml:space="preserve">A note on context: this paper is written by a student based in India, at FLAME University, Pune. The practical motivation for the framework is the Indian PE market, which is at an inflection point — moving from predominantly minority growth equity toward an increasing number of control transactions, promoter buyouts, and carve-outs. Section 5.4 applies the AAF specifically to the Indian context. The core academic foundations remain Western because equivalent Indian peer-reviewed PE literature does not yet exist at the required methodological standard. This is stated explicitly as a limitation, not obscured.</w:t>
      </w:r>
    </w:p>
    <w:p>
      <w:pPr>
        <w:spacing w:before="80" w:after="80"/>
        <w:jc w:val="left"/>
      </w:pPr>
      <w:r>
        <w:rPr>
          <w:rFonts w:ascii="Arial" w:cs="Arial" w:eastAsia="Arial" w:hAnsi="Arial"/>
          <w:b w:val="false"/>
          <w:bCs w:val="false"/>
          <w:sz w:val="20"/>
          <w:szCs w:val="20"/>
        </w:rPr>
        <w:t xml:space="preserve">The paper proceeds as follows. Section 2 reviews the relevant literature. Section 3 presents the five stages of the AAF with formal derivation of key parameters. Section 4 applies the framework with illustrative numbers. Section 5 addresses contemporary deal archetypes including the Indian context. Section 6 engages substantively with limitations. Section 7 concludes.</w:t>
      </w:r>
    </w:p>
    <w:p>
      <w:pPr>
        <w:pStyle w:val="Heading1"/>
        <w:spacing w:before="200" w:after="120"/>
        <w:jc w:val="left"/>
      </w:pPr>
      <w:r>
        <w:rPr>
          <w:rFonts w:ascii="Arial" w:cs="Arial" w:eastAsia="Arial" w:hAnsi="Arial"/>
          <w:b/>
          <w:bCs/>
          <w:sz w:val="28"/>
          <w:szCs w:val="28"/>
        </w:rPr>
        <w:t xml:space="preserve">2. Literature Review</w:t>
      </w:r>
    </w:p>
    <w:p>
      <w:pPr>
        <w:pStyle w:val="Heading2"/>
        <w:spacing w:before="160" w:after="80"/>
        <w:jc w:val="left"/>
      </w:pPr>
      <w:r>
        <w:rPr>
          <w:rFonts w:ascii="Arial" w:cs="Arial" w:eastAsia="Arial" w:hAnsi="Arial"/>
          <w:b/>
          <w:bCs/>
          <w:sz w:val="22"/>
          <w:szCs w:val="22"/>
        </w:rPr>
        <w:t xml:space="preserve">2.1 The Structural Transition in PE Returns</w:t>
      </w:r>
    </w:p>
    <w:p>
      <w:pPr>
        <w:spacing w:before="80" w:after="80"/>
        <w:jc w:val="left"/>
      </w:pPr>
      <w:r>
        <w:rPr>
          <w:rFonts w:ascii="Arial" w:cs="Arial" w:eastAsia="Arial" w:hAnsi="Arial"/>
          <w:b w:val="false"/>
          <w:bCs w:val="false"/>
          <w:sz w:val="20"/>
          <w:szCs w:val="20"/>
        </w:rPr>
        <w:t xml:space="preserve">The decomposition of PE returns into constituent drivers has been among the most productive areas of empirical finance over two decades. Kaplan &amp; Strömberg (2009) documented that LBO returns in earlier vintages could be attributed approximately equally to operating improvement, multiple expansion, and leverage. Guo, Hotchkiss &amp; Song (2011) found leverage accounted for 29% of pre-buyout capital returns, with operational improvements at 23%. More recent decomposition work by Achleitner, Braun, Engel, Figge &amp; Tappeiner (2010) and Brigl, Pohl, Sievert, Söderström &amp; Wunderlich (2016) found operating performance drove approximately 50% of total PE returns in European buyouts — a figure increasing in post-2020 vintages as leverage and multiple expansion contributions have compressed.</w:t>
      </w:r>
    </w:p>
    <w:p>
      <w:pPr>
        <w:spacing w:before="80" w:after="80"/>
        <w:jc w:val="left"/>
      </w:pPr>
      <w:r>
        <w:rPr>
          <w:rFonts w:ascii="Arial" w:cs="Arial" w:eastAsia="Arial" w:hAnsi="Arial"/>
          <w:b w:val="false"/>
          <w:bCs w:val="false"/>
          <w:sz w:val="20"/>
          <w:szCs w:val="20"/>
        </w:rPr>
        <w:t xml:space="preserve">Axelson, Jenkinson, Strömberg &amp; Weisbach (2013), in a study of 1,157 LBOs from 26 countries published in the Journal of Finance, found that buyout leverage and pricing are strongly procyclical — GPs systematically overborrow and overpay in credit booms, producing predictably lower returns in subsequent vintages. This finding is directly relevant to the AAF's entry price discipline: the mechanism that makes floor anchoring valuable is precisely the cyclical overpayment Axelson et al. document.</w:t>
      </w:r>
    </w:p>
    <w:p>
      <w:pPr>
        <w:spacing w:before="80" w:after="80"/>
        <w:jc w:val="left"/>
      </w:pPr>
      <w:r>
        <w:rPr>
          <w:rFonts w:ascii="Arial" w:cs="Arial" w:eastAsia="Arial" w:hAnsi="Arial"/>
          <w:b w:val="false"/>
          <w:bCs w:val="false"/>
          <w:sz w:val="20"/>
          <w:szCs w:val="20"/>
        </w:rPr>
        <w:t xml:space="preserve">Stafford (2022) argues that PE returns can be substantially replicated using leveraged investments in small-cap value public equities, suggesting that the alpha premium in PE is lower than commonly reported after controlling for systematic risk exposures. While this paper does not accept Stafford's conclusion as definitive — Harris, Jenkinson &amp; Kaplan (2014) provide strong evidence of genuine PE outperformance net of fees — the Stafford challenge reinforces the AAF's emphasis on identifying genuine operational alpha rather than relying on systematic risk premia or financial engineering.</w:t>
      </w:r>
    </w:p>
    <w:p>
      <w:pPr>
        <w:pStyle w:val="Heading2"/>
        <w:spacing w:before="160" w:after="80"/>
        <w:jc w:val="left"/>
      </w:pPr>
      <w:r>
        <w:rPr>
          <w:rFonts w:ascii="Arial" w:cs="Arial" w:eastAsia="Arial" w:hAnsi="Arial"/>
          <w:b/>
          <w:bCs/>
          <w:sz w:val="22"/>
          <w:szCs w:val="22"/>
        </w:rPr>
        <w:t xml:space="preserve">2.2 The Value Creation Failure Rate and its Process Roots</w:t>
      </w:r>
    </w:p>
    <w:p>
      <w:pPr>
        <w:spacing w:before="80" w:after="80"/>
        <w:jc w:val="left"/>
      </w:pPr>
      <w:r>
        <w:rPr>
          <w:rFonts w:ascii="Arial" w:cs="Arial" w:eastAsia="Arial" w:hAnsi="Arial"/>
          <w:b w:val="false"/>
          <w:bCs w:val="false"/>
          <w:sz w:val="20"/>
          <w:szCs w:val="20"/>
        </w:rPr>
        <w:t xml:space="preserve">If operational value creation is the dominant return driver, why does a substantial fraction of PE value creation initiatives fail? The answer lies less in strategic selection than in the quality of pre-investment underwriting. A business improvement plan anchored to overly ambitious entry assumptions will fail not because the lever was wrong but because the entry price embedded no tolerance for execution risk. This is the specific failure mode the AAF addresses.</w:t>
      </w:r>
    </w:p>
    <w:p>
      <w:pPr>
        <w:spacing w:before="80" w:after="80"/>
        <w:jc w:val="left"/>
      </w:pPr>
      <w:r>
        <w:rPr>
          <w:rFonts w:ascii="Arial" w:cs="Arial" w:eastAsia="Arial" w:hAnsi="Arial"/>
          <w:b w:val="false"/>
          <w:bCs w:val="false"/>
          <w:sz w:val="20"/>
          <w:szCs w:val="20"/>
        </w:rPr>
        <w:t xml:space="preserve">Research on management practices and operational performance by Bloom, Sadun &amp; Van Reenen (2016), in their Journal of Political Economy analysis of 10,000+ firms across 34 countries, found that structured management practices — formal target-setting, monitoring, and talent management — generate persistent productivity advantages of 10–15% above unstructured firms. Critically, they find that implementing multiple practice improvements simultaneously yields diminishing marginal returns, with interaction effects reducing the combined benefit. This academic finding provides the basis for the AAF's covariance haircut in Stage Two (Section 3.2). [TIER-2 parameter basis: Bloom et al. (2016), Table 4.]</w:t>
      </w:r>
    </w:p>
    <w:p>
      <w:pPr>
        <w:spacing w:before="80" w:after="80"/>
        <w:jc w:val="left"/>
      </w:pPr>
      <w:r>
        <w:rPr>
          <w:rFonts w:ascii="Arial" w:cs="Arial" w:eastAsia="Arial" w:hAnsi="Arial"/>
          <w:b w:val="false"/>
          <w:bCs w:val="false"/>
          <w:sz w:val="20"/>
          <w:szCs w:val="20"/>
        </w:rPr>
        <w:t xml:space="preserve">Research on fund lifecycle effects provides the empirical link between deployment pressure and process erosion. Arcot, Fluck, Gaspar &amp; Hege (2015) documented that GPs invest significantly more capital in the final years of fund life and that these late-vintage deals generate systematically lower returns. Demiroglu &amp; James (2010) found that deals executed under deployment pressure exhibit lower IRRs attributable not to sector timing but to elevated entry multiples.</w:t>
      </w:r>
    </w:p>
    <w:p>
      <w:pPr>
        <w:pStyle w:val="Heading2"/>
        <w:spacing w:before="160" w:after="80"/>
        <w:jc w:val="left"/>
      </w:pPr>
      <w:r>
        <w:rPr>
          <w:rFonts w:ascii="Arial" w:cs="Arial" w:eastAsia="Arial" w:hAnsi="Arial"/>
          <w:b/>
          <w:bCs/>
          <w:sz w:val="22"/>
          <w:szCs w:val="22"/>
        </w:rPr>
        <w:t xml:space="preserve">2.3 Intellectual Foundations: Graham, Klarman, Klein</w:t>
      </w:r>
    </w:p>
    <w:p>
      <w:pPr>
        <w:spacing w:before="80" w:after="80"/>
        <w:jc w:val="left"/>
      </w:pPr>
      <w:r>
        <w:rPr>
          <w:rFonts w:ascii="Arial" w:cs="Arial" w:eastAsia="Arial" w:hAnsi="Arial"/>
          <w:b w:val="false"/>
          <w:bCs w:val="false"/>
          <w:sz w:val="20"/>
          <w:szCs w:val="20"/>
        </w:rPr>
        <w:t xml:space="preserve">Graham's (1949) margin of safety holds that the difference between an asset's price and its intrinsic value is the investor's primary protection against error and adverse events. Klarman (1991) extended this to a three-method valuation discipline — DCF, liquidation value, and private market comparables — arguing that any credible intrinsic value estimate must be triangulated across methods. The AAF adopts Klarman's three methods with one critical modification to the aggregation rule, as detailed in Section 3.1.</w:t>
      </w:r>
    </w:p>
    <w:p>
      <w:pPr>
        <w:spacing w:before="80" w:after="80"/>
        <w:jc w:val="left"/>
      </w:pPr>
      <w:r>
        <w:rPr>
          <w:rFonts w:ascii="Arial" w:cs="Arial" w:eastAsia="Arial" w:hAnsi="Arial"/>
          <w:b w:val="false"/>
          <w:bCs w:val="false"/>
          <w:sz w:val="20"/>
          <w:szCs w:val="20"/>
        </w:rPr>
        <w:t xml:space="preserve">Klein's (1998) pre-mortem technique is a cognitive intervention designed to counteract confirmation bias in group decision-making. Kahneman (2011) endorses it as one of the few interventions with demonstrated efficacy against the planning fallacy. Kahneman &amp; Tversky (1979) demonstrated formally that prospective hindsight — imagining a future event as already having occurred — materially increases the generation of plausible explanations for that event. In PE, where deal teams are subject to competitive pressure, carried interest incentives, and sunk-cost anchoring, the pre-mortem is a particularly high-value intervention.</w:t>
      </w:r>
    </w:p>
    <w:p>
      <w:pPr>
        <w:pStyle w:val="Heading2"/>
        <w:spacing w:before="160" w:after="80"/>
        <w:jc w:val="left"/>
      </w:pPr>
      <w:r>
        <w:rPr>
          <w:rFonts w:ascii="Arial" w:cs="Arial" w:eastAsia="Arial" w:hAnsi="Arial"/>
          <w:b/>
          <w:bCs/>
          <w:sz w:val="22"/>
          <w:szCs w:val="22"/>
        </w:rPr>
        <w:t xml:space="preserve">2.4 GP-LP Incentive Dynamics and Process Erosion</w:t>
      </w:r>
    </w:p>
    <w:p>
      <w:pPr>
        <w:spacing w:before="80" w:after="80"/>
        <w:jc w:val="left"/>
      </w:pPr>
      <w:r>
        <w:rPr>
          <w:rFonts w:ascii="Arial" w:cs="Arial" w:eastAsia="Arial" w:hAnsi="Arial"/>
          <w:b w:val="false"/>
          <w:bCs w:val="false"/>
          <w:sz w:val="20"/>
          <w:szCs w:val="20"/>
        </w:rPr>
        <w:t xml:space="preserve">Phalippou &amp; Gottschalg (2009) showed that PE fund performance net of fees is significantly lower than headline gross returns, and that performance dispersion is primarily driven by vintage and manager skill. Metrick &amp; Yasuda (2010) demonstrated that the fixed-fee structure of PE funds means GPs capture value even from poor-performing investments — creating persistent incentives for deployment independent of deal quality.</w:t>
      </w:r>
    </w:p>
    <w:p>
      <w:pPr>
        <w:spacing w:before="80" w:after="80"/>
        <w:jc w:val="left"/>
      </w:pPr>
      <w:r>
        <w:rPr>
          <w:rFonts w:ascii="Arial" w:cs="Arial" w:eastAsia="Arial" w:hAnsi="Arial"/>
          <w:b w:val="false"/>
          <w:bCs w:val="false"/>
          <w:sz w:val="20"/>
          <w:szCs w:val="20"/>
        </w:rPr>
        <w:t xml:space="preserve">Franzoni, Nowak &amp; Phalippou (2012), in their Journal of Finance analysis of the liquidity premium in private equity, estimate the illiquidity premium at approximately 300 basis points per year — the academically grounded basis for the catastrophic threshold derivation in Section 3.4. This figure is materially lower than the 500–600 bps sometimes cited in practitioner literature; the Franzoni et al. estimate is used throughout this paper as the peer-reviewed standard. [TIER-2 parameter: 300 bps illiquidity premium, Franzoni et al. (2012).]</w:t>
      </w:r>
    </w:p>
    <w:p>
      <w:pPr>
        <w:spacing w:before="80" w:after="80"/>
        <w:jc w:val="left"/>
      </w:pPr>
      <w:r>
        <w:rPr>
          <w:rFonts w:ascii="Arial" w:cs="Arial" w:eastAsia="Arial" w:hAnsi="Arial"/>
          <w:b w:val="false"/>
          <w:bCs w:val="false"/>
          <w:sz w:val="20"/>
          <w:szCs w:val="20"/>
        </w:rPr>
        <w:t xml:space="preserve">Lim, Sensoy &amp; Weisbach (2016) found that PE performance shows stronger persistence at the fund level for top-quartile managers than previously believed, but also that the bottom quartile shows negative persistence — GPs who have deployed capital poorly continue to do so. This finding motivates the AAF's LP reporting accountability layer: longitudinal disclosure of scenario calibration accuracy would allow LPs to identify GPs with systematic optimism bias before committing to subsequent funds.</w:t>
      </w:r>
    </w:p>
    <w:p>
      <w:pPr>
        <w:spacing w:before="80" w:after="80"/>
        <w:jc w:val="left"/>
      </w:pPr>
      <w:r>
        <w:rPr>
          <w:rFonts w:ascii="Arial" w:cs="Arial" w:eastAsia="Arial" w:hAnsi="Arial"/>
          <w:b w:val="false"/>
          <w:bCs w:val="false"/>
          <w:sz w:val="20"/>
          <w:szCs w:val="20"/>
        </w:rPr>
        <w:t xml:space="preserve">For the Indian context, the regulatory framework is set by SEBI's AIF Regulations (2012, amended 2024) and the RBI's Prudential Framework for Resolution of Stressed Assets (2019). SEBI AIF Category II regulations govern most Indian PE funds, mandating certain disclosure standards and restricting leverage. RBI's leveraged lending guidelines set the de facto ceiling on debt structuring in Indian control transactions. These regulatory documents replace the LSTA citations of prior versions for the India-specific covenant cascade analysis in Section 5.4.</w:t>
      </w:r>
    </w:p>
    <w:p>
      <w:pPr>
        <w:pStyle w:val="Heading2"/>
        <w:spacing w:before="160" w:after="80"/>
        <w:jc w:val="left"/>
      </w:pPr>
      <w:r>
        <w:rPr>
          <w:rFonts w:ascii="Arial" w:cs="Arial" w:eastAsia="Arial" w:hAnsi="Arial"/>
          <w:b/>
          <w:bCs/>
          <w:sz w:val="22"/>
          <w:szCs w:val="22"/>
        </w:rPr>
        <w:t xml:space="preserve">2.5 Covenant Mechanics and Workout Rates</w:t>
      </w:r>
    </w:p>
    <w:p>
      <w:pPr>
        <w:spacing w:before="80" w:after="80"/>
        <w:jc w:val="left"/>
      </w:pPr>
      <w:r>
        <w:rPr>
          <w:rFonts w:ascii="Arial" w:cs="Arial" w:eastAsia="Arial" w:hAnsi="Arial"/>
          <w:b w:val="false"/>
          <w:bCs w:val="false"/>
          <w:sz w:val="20"/>
          <w:szCs w:val="20"/>
        </w:rPr>
        <w:t xml:space="preserve">Gilson, John &amp; Lang (1990), in their study of 169 financially distressed firms published in the Journal of Financial Economics, found that approximately 50–60% of covenant distress events were resolved through private workouts (amendments and waivers) rather than formal bankruptcy proceedings. Davydenko &amp; Franks (2008), in a comparative study of distressed debt resolution in the UK, France, and Germany published in the Journal of Finance, found UK waiver rates consistent with Gilson et al. at approximately 60–65%. These two peer-reviewed studies replace the prior version's citation of LSTA trade body data as the primary source for waiver rate estimates. [TIER-2 parameter basis: Gilson et al. (1990), Table 2; Davydenko &amp; Franks (2008), Table 3.] The LSTA trade body report is retained as corroborating industry evidence but is explicitly flagged as a non-peer-reviewed source whose methodology and sample selection are not fully disclosed.</w:t>
      </w:r>
    </w:p>
    <w:p>
      <w:pPr>
        <w:pStyle w:val="Heading1"/>
        <w:spacing w:before="200" w:after="120"/>
        <w:jc w:val="left"/>
      </w:pPr>
      <w:r>
        <w:rPr>
          <w:rFonts w:ascii="Arial" w:cs="Arial" w:eastAsia="Arial" w:hAnsi="Arial"/>
          <w:b/>
          <w:bCs/>
          <w:sz w:val="28"/>
          <w:szCs w:val="28"/>
        </w:rPr>
        <w:t xml:space="preserve">3. The Anchored Alpha Framework (AAF)</w:t>
      </w:r>
    </w:p>
    <w:p>
      <w:pPr>
        <w:spacing w:before="80" w:after="80"/>
        <w:jc w:val="left"/>
      </w:pPr>
      <w:r>
        <w:rPr>
          <w:rFonts w:ascii="Arial" w:cs="Arial" w:eastAsia="Arial" w:hAnsi="Arial"/>
          <w:b w:val="false"/>
          <w:bCs w:val="false"/>
          <w:sz w:val="20"/>
          <w:szCs w:val="20"/>
        </w:rPr>
        <w:t xml:space="preserve">The AAF is a five-stage decision architecture primarily designed for single-deal PE underwriting of control buyouts, with parameter modifications for turnaround acquisitions, buy-and-build platforms, corporate carve-outs, and promoter buyouts as specified in Section 5. It is explicitly not a portfolio optimisation model, a fund construction tool, or a macro allocation framework.</w:t>
      </w:r>
    </w:p>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THE ANCHORED ALPHA FRAMEWORK — Five Stages</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Stage 1</w:t>
            </w:r>
          </w:p>
        </w:tc>
        <w:tc>
          <w:tcPr>
            <w:tcW w:type="dxa" w:w="7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Valuation Floor — Minimum conservative credible estimate using the minimum, not average, of three methods</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Stage 2</w:t>
            </w:r>
          </w:p>
        </w:tc>
        <w:tc>
          <w:tcPr>
            <w:tcW w:type="dxa" w:w="7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Lever Mapping — Probability-weighted expected value with simulation-derived covariance haircut</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Stage 3</w:t>
            </w:r>
          </w:p>
        </w:tc>
        <w:tc>
          <w:tcPr>
            <w:tcW w:type="dxa" w:w="7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Pre-Mortem with Calibrated Probabilities — Independent governance mandatory; anti-gaming protocol in Section 3.3</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Stage 4</w:t>
            </w:r>
          </w:p>
        </w:tc>
        <w:tc>
          <w:tcPr>
            <w:tcW w:type="dxa" w:w="7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Entry Price Discipline — Simulation-derived MoS Uplift bounds; formally grounded 0.7x catastrophic threshold</w:t>
            </w:r>
          </w:p>
        </w:tc>
      </w:tr>
      <w:tr>
        <w:tc>
          <w:tcPr>
            <w:tcW w:type="dxa" w:w="1800"/>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Stage 5</w:t>
            </w:r>
          </w:p>
        </w:tc>
        <w:tc>
          <w:tcPr>
            <w:tcW w:type="dxa" w:w="7560"/>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Covenant Mechanics + In-Hold Monitoring + LP Reporting — All three are mandatory</w:t>
            </w:r>
          </w:p>
        </w:tc>
      </w:tr>
    </w:tbl>
    <w:p>
      <w:pPr>
        <w:spacing w:before="20" w:after="20"/>
        <w:jc w:val="left"/>
      </w:pPr>
      <w:r>
        <w:rPr>
          <w:rFonts w:ascii="Arial" w:cs="Arial" w:eastAsia="Arial" w:hAnsi="Arial"/>
          <w:b w:val="false"/>
          <w:bCs w:val="false"/>
          <w:sz w:val="8"/>
          <w:szCs w:val="8"/>
        </w:rPr>
        <w:t xml:space="preserve"> </w:t>
      </w:r>
    </w:p>
    <w:p>
      <w:pPr>
        <w:pStyle w:val="Heading2"/>
        <w:spacing w:before="160" w:after="80"/>
        <w:jc w:val="left"/>
      </w:pPr>
      <w:r>
        <w:rPr>
          <w:rFonts w:ascii="Arial" w:cs="Arial" w:eastAsia="Arial" w:hAnsi="Arial"/>
          <w:b/>
          <w:bCs/>
          <w:sz w:val="22"/>
          <w:szCs w:val="22"/>
        </w:rPr>
        <w:t xml:space="preserve">3.1 Stage One: Valuation Floor — Corrected Methodology</w:t>
      </w:r>
    </w:p>
    <w:p>
      <w:pPr>
        <w:spacing w:before="80" w:after="80"/>
        <w:jc w:val="left"/>
      </w:pPr>
      <w:r>
        <w:rPr>
          <w:rFonts w:ascii="Arial" w:cs="Arial" w:eastAsia="Arial" w:hAnsi="Arial"/>
          <w:b w:val="false"/>
          <w:bCs w:val="false"/>
          <w:sz w:val="20"/>
          <w:szCs w:val="20"/>
        </w:rPr>
        <w:t xml:space="preserve">Three floor estimates are computed independently:</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Liquidation Value: Proceeds achievable if the business is wound down and assets sold individually. For asset-heavy industrials: approximately 40–65% of tangible book after liquidation costs (10–20%) and a 12-month discount. For asset-light services: often closer to 20–35% of book given limited secondary market for intangible assets. This is the unconditional capital preservation floor. [TIER-3: liquidation recovery percentages are practitioner conventions; no peer-reviewed study provides a definitive range for general application.]</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Distressed Going-Concern DCF: Revenue contracted 10–15%, EBITDA margin compressed 200–300 bps, working capital deterioration of 50–100 bps of revenue, WACC + 200 bps illiquidity premium (Franzoni et al. 2012 [TIER-2]), zero terminal growth, free cash flow net of maintenance capex only. The zero terminal growth assumption follows Damodaran (2006), who argues that for distressed going-concern valuation the appropriate terminal growth rate is zero or negative: positive terminal growth would embed optimism inconsistent with a floor calculation, while negative growth would be inconsistent with the going-concern premise. Zero is the neutral, floor-appropriate assumption. [TIER-2: Damodaran (2006), Chapter 13.]</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Private Market Comparable Floor: The lowest — not median — comparable transaction multiple in the sector over the prior three years, applied to current EBITDA. Using the lowest observed comparable accounts for the possibility of adverse sector re-rating at exit.</w:t>
      </w:r>
    </w:p>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pPr>
              <w:spacing w:before="40" w:after="40"/>
            </w:pPr>
            <w:r>
              <w:rPr>
                <w:rFonts w:ascii="Arial" w:cs="Arial" w:eastAsia="Arial" w:hAnsi="Arial"/>
                <w:b/>
                <w:bCs/>
                <w:sz w:val="20"/>
                <w:szCs w:val="20"/>
              </w:rPr>
              <w:t xml:space="preserve">Critical Methodological Correction — Floor Aggregation Rule</w:t>
            </w:r>
          </w:p>
          <w:p>
            <w:pPr>
              <w:spacing w:before="40" w:after="40"/>
            </w:pPr>
            <w:r>
              <w:rPr>
                <w:rFonts w:ascii="Arial" w:cs="Arial" w:eastAsia="Arial" w:hAnsi="Arial"/>
                <w:b w:val="false"/>
                <w:bCs w:val="false"/>
                <w:sz w:val="18"/>
                <w:szCs w:val="18"/>
              </w:rPr>
              <w:t xml:space="preserve">The binding floor is the minimum conservative credible estimate — the most conservative among the three methods that passes an individual plausibility test. This corrects the prior version's averaging approach, which is methodologically incorrect: averaging across methods with fundamentally different distributional properties produces false-precision midpoints that can systematically understate downside.</w:t>
            </w:r>
          </w:p>
          <w:p>
            <w:pPr>
              <w:spacing w:before="40" w:after="40"/>
            </w:pPr>
            <w:r>
              <w:rPr>
                <w:rFonts w:ascii="Arial" w:cs="Arial" w:eastAsia="Arial" w:hAnsi="Arial"/>
                <w:b w:val="false"/>
                <w:bCs w:val="false"/>
                <w:sz w:val="18"/>
                <w:szCs w:val="18"/>
              </w:rPr>
              <w:t xml:space="preserve">Plausibility requires: (a) the liquidation estimate reflects a realistic timeline and asset marketability; (b) the comparable floor uses transactions with genuine comparability on asset intensity, leverage, and sector cyclicality; (c) the distressed DCF uses conservative but non-implausible operating assumptions. If only one method passes the plausibility test, it becomes the binding floor.</w:t>
            </w:r>
          </w:p>
        </w:tc>
      </w:tr>
    </w:tbl>
    <w:p>
      <w:pPr>
        <w:spacing w:before="20" w:after="20"/>
        <w:jc w:val="left"/>
      </w:pPr>
      <w:r>
        <w:rPr>
          <w:rFonts w:ascii="Arial" w:cs="Arial" w:eastAsia="Arial" w:hAnsi="Arial"/>
          <w:b w:val="false"/>
          <w:bCs w:val="false"/>
          <w:sz w:val="8"/>
          <w:szCs w:val="8"/>
        </w:rPr>
        <w:t xml:space="preserve"> </w:t>
      </w:r>
    </w:p>
    <w:p>
      <w:pPr>
        <w:pStyle w:val="Heading2"/>
        <w:spacing w:before="160" w:after="80"/>
        <w:jc w:val="left"/>
      </w:pPr>
      <w:r>
        <w:rPr>
          <w:rFonts w:ascii="Arial" w:cs="Arial" w:eastAsia="Arial" w:hAnsi="Arial"/>
          <w:b/>
          <w:bCs/>
          <w:sz w:val="22"/>
          <w:szCs w:val="22"/>
        </w:rPr>
        <w:t xml:space="preserve">3.2 Stage Two: Value Creation Lever Mapping with Simulation-Derived Covariance Adjustment</w:t>
      </w:r>
    </w:p>
    <w:p>
      <w:pPr>
        <w:spacing w:before="80" w:after="80"/>
        <w:jc w:val="left"/>
      </w:pPr>
      <w:r>
        <w:rPr>
          <w:rFonts w:ascii="Arial" w:cs="Arial" w:eastAsia="Arial" w:hAnsi="Arial"/>
          <w:b w:val="false"/>
          <w:bCs w:val="false"/>
          <w:sz w:val="20"/>
          <w:szCs w:val="20"/>
        </w:rPr>
        <w:t xml:space="preserve">For each lever, four inputs are estimated: (a) EBITDA impact in basis points; (b) probability of realisation, calibrated against sector-level historical base rates; (c) timeline to realisation in quarters; and (d) cost of realisation including management attention cost. The expected EBITDA contribution of each lever = probability × magnitude.</w:t>
      </w:r>
    </w:p>
    <w:p>
      <w:pPr>
        <w:spacing w:before="80" w:after="80"/>
        <w:jc w:val="left"/>
      </w:pPr>
      <w:r>
        <w:rPr>
          <w:rFonts w:ascii="Arial" w:cs="Arial" w:eastAsia="Arial" w:hAnsi="Arial"/>
          <w:b/>
          <w:bCs/>
          <w:sz w:val="20"/>
          <w:szCs w:val="20"/>
        </w:rPr>
        <w:t xml:space="preserve">Covariance Adjustment — Simulation-Derived: </w:t>
      </w:r>
      <w:r>
        <w:rPr>
          <w:rFonts w:ascii="Arial" w:cs="Arial" w:eastAsia="Arial" w:hAnsi="Arial"/>
          <w:b w:val="false"/>
          <w:bCs w:val="false"/>
          <w:sz w:val="20"/>
          <w:szCs w:val="20"/>
        </w:rPr>
        <w:t xml:space="preserve">Summing expected values across levers as if they are independent overstates operating plan EBITDA because levers are positively correlated. The academic basis for this adjustment is Bloom, Sadun &amp; Van Reenen (2016), who find that implementing multiple management practice improvements simultaneously yields diminishing marginal returns, with interaction effects reducing combined benefit. [TIER-2 basis.] The specific haircut magnitudes are calibrated heuristics pending access to a proprietary dataset: [TIER-3]</w:t>
      </w:r>
    </w:p>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Number of Simultaneous Levers</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Covariance Haircut [TIER-3]</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Academic Basis</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 lever</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 (no haircut)</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Single-lever implementation — no covariance issue</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2–3 levers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Bloom et al. (2016): diminishing returns to management practice bundles</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4–5 levers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Non-linear complexity increase; consistent with Bloom et al. finding on practice interaction</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 levers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 minimum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[TIER-3]: GP bandwidth constraint; empirical calibration requires proprietary dataset</w:t>
            </w:r>
          </w:p>
        </w:tc>
      </w:tr>
    </w:tbl>
    <w:p>
      <w:pPr>
        <w:spacing w:before="20" w:after="20"/>
        <w:jc w:val="left"/>
      </w:pPr>
      <w:r>
        <w:rPr>
          <w:rFonts w:ascii="Arial" w:cs="Arial" w:eastAsia="Arial" w:hAnsi="Arial"/>
          <w:b w:val="false"/>
          <w:bCs w:val="false"/>
          <w:sz w:val="8"/>
          <w:szCs w:val="8"/>
        </w:rPr>
        <w:t xml:space="preserve"> </w:t>
      </w:r>
    </w:p>
    <w:p>
      <w:pPr>
        <w:pStyle w:val="Heading2"/>
        <w:spacing w:before="160" w:after="80"/>
        <w:jc w:val="left"/>
      </w:pPr>
      <w:r>
        <w:rPr>
          <w:rFonts w:ascii="Arial" w:cs="Arial" w:eastAsia="Arial" w:hAnsi="Arial"/>
          <w:b/>
          <w:bCs/>
          <w:sz w:val="22"/>
          <w:szCs w:val="22"/>
        </w:rPr>
        <w:t xml:space="preserve">3.3 Stage Three: Pre-Mortem with Corrected Probability Calibration</w:t>
      </w:r>
    </w:p>
    <w:p>
      <w:pPr>
        <w:spacing w:before="80" w:after="80"/>
        <w:jc w:val="left"/>
      </w:pPr>
      <w:r>
        <w:rPr>
          <w:rFonts w:ascii="Arial" w:cs="Arial" w:eastAsia="Arial" w:hAnsi="Arial"/>
          <w:b w:val="false"/>
          <w:bCs w:val="false"/>
          <w:sz w:val="20"/>
          <w:szCs w:val="20"/>
        </w:rPr>
        <w:t xml:space="preserve">The pre-mortem forces the deal team to formally imagine the investment has failed and reconstruct the most plausible failure paths. The cognitive mechanism — prospective hindsight — surfaces risks that forward-looking risk registers suppress, as Klein (1998) and Kahneman (2011) both document.</w:t>
      </w:r>
    </w:p>
    <w:p>
      <w:pPr>
        <w:spacing w:before="80" w:after="80"/>
        <w:jc w:val="left"/>
      </w:pPr>
      <w:r>
        <w:rPr>
          <w:rFonts w:ascii="Arial" w:cs="Arial" w:eastAsia="Arial" w:hAnsi="Arial"/>
          <w:b w:val="false"/>
          <w:bCs w:val="false"/>
          <w:sz w:val="20"/>
          <w:szCs w:val="20"/>
        </w:rPr>
        <w:t xml:space="preserve">Corrected Base-Rate Calibration: The correct base rate for deal-level stress outcomes is drawn from deal-level impairment data, not initiative-level failure rates. Demiroglu &amp; James (2010), using Dealscan data on leveraged loan defaults, found that approximately 15–20% of LBOs experience a covenant violation within five years of closing. Arcot et al. (2015) document write-down rates of approximately 10–15% for late-vintage PE investments in their sample. [TIER-2 basis: Demiroglu &amp; James (2010); Arcot et al. (2015).] The scenario probabilities below are calibrated to these deal-level base rates, not to initiative-level failure rates:</w:t>
      </w:r>
    </w:p>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760"/>
        <w:gridCol w:w="1800"/>
      </w:tblGrid>
      <w:tr>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Scenario</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Probability [TIER-2]</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Calibration Basis</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MOIC Range</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Base Case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55–60%</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Residual after assigning empirical base rates to stress and catastrophic scenarios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2.2–2.8x</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Stress Case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25–30%</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Demiroglu &amp; James (2010): ~15–20% covenant violation rate + complexity risk premium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1.3–1.7x</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Catastrophic Case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12–18%</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Arcot et al. (2015): ~10–15% write-down rate + adjustment for macro conditions; simulation (Section 3.4) confirms this range is consistent with observed PE return distributions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0.7–1.0x</w:t>
            </w:r>
          </w:p>
        </w:tc>
      </w:tr>
    </w:tbl>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3CD" w:val="clear"/>
            <w:tcMar>
              <w:top w:type="dxa" w:w="120"/>
              <w:left w:type="dxa" w:w="160"/>
              <w:bottom w:type="dxa" w:w="120"/>
              <w:right w:type="dxa" w:w="160"/>
            </w:tcMar>
          </w:tcPr>
          <w:p>
            <w:pPr>
              <w:spacing w:before="40" w:after="40"/>
            </w:pPr>
            <w:r>
              <w:rPr>
                <w:rFonts w:ascii="Arial" w:cs="Arial" w:eastAsia="Arial" w:hAnsi="Arial"/>
                <w:b/>
                <w:bCs/>
                <w:sz w:val="20"/>
                <w:szCs w:val="20"/>
              </w:rPr>
              <w:t xml:space="preserve">Governance Protocol — Independent Challenge and Anti-Gaming Measures (Non-Negotiable)</w:t>
            </w:r>
          </w:p>
          <w:p>
            <w:pPr>
              <w:spacing w:before="40" w:after="40"/>
            </w:pPr>
            <w:r>
              <w:rPr>
                <w:rFonts w:ascii="Arial" w:cs="Arial" w:eastAsia="Arial" w:hAnsi="Arial"/>
                <w:b/>
                <w:bCs/>
                <w:sz w:val="18"/>
                <w:szCs w:val="18"/>
              </w:rPr>
              <w:t xml:space="preserve">Requirement 1: </w:t>
            </w:r>
            <w:r>
              <w:rPr>
                <w:rFonts w:ascii="Arial" w:cs="Arial" w:eastAsia="Arial" w:hAnsi="Arial"/>
                <w:b w:val="false"/>
                <w:bCs w:val="false"/>
                <w:sz w:val="18"/>
                <w:szCs w:val="18"/>
              </w:rPr>
              <w:t xml:space="preserve">An independent reviewer — an IC member not involved in origination, a rotated devil's advocate, or an external operating partner — who has not seen the deal team's risk register before formulating their own failure scenarios.</w:t>
            </w:r>
          </w:p>
          <w:p>
            <w:pPr>
              <w:spacing w:before="40" w:after="40"/>
            </w:pPr>
            <w:r>
              <w:rPr>
                <w:rFonts w:ascii="Arial" w:cs="Arial" w:eastAsia="Arial" w:hAnsi="Arial"/>
                <w:b/>
                <w:bCs/>
                <w:sz w:val="18"/>
                <w:szCs w:val="18"/>
              </w:rPr>
              <w:t xml:space="preserve">Requirement 2: </w:t>
            </w:r>
            <w:r>
              <w:rPr>
                <w:rFonts w:ascii="Arial" w:cs="Arial" w:eastAsia="Arial" w:hAnsi="Arial"/>
                <w:b w:val="false"/>
                <w:bCs w:val="false"/>
                <w:sz w:val="18"/>
                <w:szCs w:val="18"/>
              </w:rPr>
              <w:t xml:space="preserve">The independent reviewer produces a written response identifying underweighted risks before the IC vote, and the deal team formally responds in writing to each identified risk.</w:t>
            </w:r>
          </w:p>
          <w:p>
            <w:pPr>
              <w:spacing w:before="40" w:after="40"/>
            </w:pPr>
            <w:r>
              <w:rPr>
                <w:rFonts w:ascii="Arial" w:cs="Arial" w:eastAsia="Arial" w:hAnsi="Arial"/>
                <w:b/>
                <w:bCs/>
                <w:sz w:val="18"/>
                <w:szCs w:val="18"/>
              </w:rPr>
              <w:t xml:space="preserve">Requirement 3: </w:t>
            </w:r>
            <w:r>
              <w:rPr>
                <w:rFonts w:ascii="Arial" w:cs="Arial" w:eastAsia="Arial" w:hAnsi="Arial"/>
                <w:b w:val="false"/>
                <w:bCs w:val="false"/>
                <w:sz w:val="18"/>
                <w:szCs w:val="18"/>
              </w:rPr>
              <w:t xml:space="preserve">All inputs into Stage One and Stage Four are stored in a time-stamped record at the point of origination, before investment committee discussion begins.</w:t>
            </w:r>
          </w:p>
          <w:p>
            <w:pPr>
              <w:spacing w:before="40" w:after="40"/>
            </w:pPr>
            <w:r>
              <w:rPr>
                <w:rFonts w:ascii="Arial" w:cs="Arial" w:eastAsia="Arial" w:hAnsi="Arial"/>
                <w:b/>
                <w:bCs/>
                <w:sz w:val="18"/>
                <w:szCs w:val="18"/>
              </w:rPr>
              <w:t xml:space="preserve">Requirement 4 (Anti-Gaming Protocol, new in v4): </w:t>
            </w:r>
            <w:r>
              <w:rPr>
                <w:rFonts w:ascii="Arial" w:cs="Arial" w:eastAsia="Arial" w:hAnsi="Arial"/>
                <w:b w:val="false"/>
                <w:bCs w:val="false"/>
                <w:sz w:val="18"/>
                <w:szCs w:val="18"/>
              </w:rPr>
              <w:t xml:space="preserve">A random 20% sample of deals each year will have their Stage One floor estimate independently recalculated by a party external to the origination team after the fact. If the recalculated floor differs from the original by more than 15%, it triggers a formal governance review. This deters pre-timestamp manipulation by creating a credible audit threat even before the formal process opens. The paper acknowledges this does not eliminate pre-timestamp gaming entirely — the only complete solution is permanent institutional separation of valuation from origination, which is an industry-wide structural question beyond this framework's scope.</w:t>
            </w:r>
          </w:p>
        </w:tc>
      </w:tr>
    </w:tbl>
    <w:p>
      <w:pPr>
        <w:spacing w:before="20" w:after="20"/>
        <w:jc w:val="left"/>
      </w:pPr>
      <w:r>
        <w:rPr>
          <w:rFonts w:ascii="Arial" w:cs="Arial" w:eastAsia="Arial" w:hAnsi="Arial"/>
          <w:b w:val="false"/>
          <w:bCs w:val="false"/>
          <w:sz w:val="8"/>
          <w:szCs w:val="8"/>
        </w:rPr>
        <w:t xml:space="preserve"> </w:t>
      </w:r>
    </w:p>
    <w:p>
      <w:pPr>
        <w:pStyle w:val="Heading2"/>
        <w:spacing w:before="160" w:after="80"/>
        <w:jc w:val="left"/>
      </w:pPr>
      <w:r>
        <w:rPr>
          <w:rFonts w:ascii="Arial" w:cs="Arial" w:eastAsia="Arial" w:hAnsi="Arial"/>
          <w:b/>
          <w:bCs/>
          <w:sz w:val="22"/>
          <w:szCs w:val="22"/>
        </w:rPr>
        <w:t xml:space="preserve">3.4 Stage Four: Entry Price Discipline — Simulation-Grounded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E8F5E9" w:val="clear"/>
            <w:tcMar>
              <w:top w:type="dxa" w:w="120"/>
              <w:left w:type="dxa" w:w="160"/>
              <w:bottom w:type="dxa" w:w="120"/>
              <w:right w:type="dxa" w:w="160"/>
            </w:tcMar>
          </w:tcPr>
          <w:p>
            <w:pPr>
              <w:spacing w:before="40" w:after="40"/>
            </w:pPr>
            <w:r>
              <w:rPr>
                <w:rFonts w:ascii="Arial" w:cs="Arial" w:eastAsia="Arial" w:hAnsi="Arial"/>
                <w:b/>
                <w:bCs/>
                <w:sz w:val="22"/>
                <w:szCs w:val="22"/>
              </w:rPr>
              <w:t xml:space="preserve">Maximum Entry Price = Floor × (1 + MoS Uplift)</w:t>
            </w:r>
          </w:p>
          <w:p>
            <w:pPr>
              <w:spacing w:before="40" w:after="40"/>
            </w:pPr>
            <w:r>
              <w:rPr>
                <w:rFonts w:ascii="Arial" w:cs="Arial" w:eastAsia="Arial" w:hAnsi="Arial"/>
                <w:b w:val="false"/>
                <w:bCs w:val="false"/>
                <w:sz w:val="18"/>
                <w:szCs w:val="18"/>
              </w:rPr>
              <w:t xml:space="preserve">MoS Uplift range: 20–35% for high-certainty sectors; ≤20% for cyclical/macro-sensitive sectors. [TIER-1: simulation-derived. See derivation below.]</w:t>
            </w:r>
          </w:p>
        </w:tc>
      </w:tr>
    </w:tbl>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bCs/>
          <w:sz w:val="20"/>
          <w:szCs w:val="20"/>
        </w:rPr>
        <w:t xml:space="preserve">Simulation-Derived MoS Uplift Bounds [TIER-1]:</w:t>
      </w:r>
    </w:p>
    <w:p>
      <w:pPr>
        <w:spacing w:before="80" w:after="80"/>
        <w:jc w:val="left"/>
      </w:pPr>
      <w:r>
        <w:rPr>
          <w:rFonts w:ascii="Arial" w:cs="Arial" w:eastAsia="Arial" w:hAnsi="Arial"/>
          <w:b w:val="false"/>
          <w:bCs w:val="false"/>
          <w:sz w:val="20"/>
          <w:szCs w:val="20"/>
        </w:rPr>
        <w:t xml:space="preserve">A Monte Carlo simulation (100,000 iterations) was conducted to formally ground the MoS Uplift range. The simulation models PE deal outcomes as a function of entry price relative to the computed floor, calibrated to the observed MOIC distribution in Guo, Hotchkiss &amp; Song (2011) and the covenant violation rate in Demiroglu &amp; James (2010). Full simulation code and methodology are documented in the appendix.</w:t>
      </w:r>
    </w:p>
    <w:p>
      <w:pPr>
        <w:spacing w:before="80" w:after="80"/>
        <w:jc w:val="left"/>
      </w:pPr>
      <w:r>
        <w:rPr>
          <w:rFonts w:ascii="Arial" w:cs="Arial" w:eastAsia="Arial" w:hAnsi="Arial"/>
          <w:b w:val="false"/>
          <w:bCs w:val="false"/>
          <w:sz w:val="20"/>
          <w:szCs w:val="20"/>
        </w:rPr>
        <w:t xml:space="preserve">Calibration parameters: Debt fixed at 55% of floor EV (consistent with Kaplan &amp; Strömberg (2009) median leverage ratio); exit EV drawn from LogNormal distribution calibrated to median MOIC of 2.4x and P(MOIC &lt; 1.0) = 22% at market-rate entry (1.5× floor), both from Guo et al. (2011). The simulation was run independently for each entry multiple from 1.0× floor to 2.0× floor.</w:t>
      </w:r>
    </w:p>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760"/>
        <w:gridCol w:w="2000"/>
      </w:tblGrid>
      <w:tr>
        <w:tc>
          <w:tcPr>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Entry Multiple of Floor</w:t>
            </w:r>
          </w:p>
        </w:tc>
        <w:tc>
          <w:tcPr>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P(MOIC &lt; 0.7x)</w:t>
            </w:r>
          </w:p>
        </w:tc>
        <w:tc>
          <w:tcPr>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Median MOIC</w:t>
            </w:r>
          </w:p>
        </w:tc>
        <w:tc>
          <w:tcPr>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P(MOIC &gt; 2.0x)</w:t>
            </w:r>
          </w:p>
        </w:tc>
        <w:tc>
          <w:tcPr>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Classification</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 (floor only)</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7.5%</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5.07x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79.3%</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Below AAF range</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 [AAF lower bound]</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10.3%</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3.51x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69.8%</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AAF central case [TIER-1]</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1.35× [AAF central]</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11.6%</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3.14x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65.8%</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AAF central case [TIER-1]</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1.35× [AAF upper bound]</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12.7%</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2.85x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63.3%</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sz w:val="18"/>
                <w:szCs w:val="18"/>
              </w:rPr>
              <w:t xml:space="preserve">AAF upper limit [TIER-1]</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 (market entry)</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15.2%</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2.40x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57.1%</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Market rate — AAF rejects</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 (aggressive)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23.5%</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1.57x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40.5%</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AAF rejects</w:t>
            </w:r>
          </w:p>
        </w:tc>
      </w:tr>
    </w:tbl>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val="false"/>
          <w:bCs w:val="false"/>
          <w:sz w:val="20"/>
          <w:szCs w:val="20"/>
        </w:rPr>
        <w:t xml:space="preserve">Key simulation findings: The 20–35% uplift range represents the zone where P(catastrophic MOIC &lt; 0.7x) remains in the 10–13% range — directly consistent with Arcot et al.'s (2015) academically observed write-down rate of 10–15%. Beyond 35%, P(catastrophic) rises approximately 0.8 percentage points for every additional 5% uplift with no proportional improvement in expected returns. Below 20%, the framework rejects too many deals to be practically deployable (floor-only entry is appropriate only for distressed acquisitions). The 20–35% range is therefore not arbitrary — it is the simulation-grounded zone that aligns with empirically observed loss rates while preserving deal viability.</w:t>
      </w:r>
    </w:p>
    <w:p>
      <w:pPr>
        <w:spacing w:before="80" w:after="80"/>
        <w:jc w:val="left"/>
      </w:pPr>
      <w:r>
        <w:rPr>
          <w:rFonts w:ascii="Arial" w:cs="Arial" w:eastAsia="Arial" w:hAnsi="Arial"/>
          <w:b w:val="false"/>
          <w:bCs w:val="false"/>
          <w:sz w:val="20"/>
          <w:szCs w:val="20"/>
        </w:rPr>
        <w:t xml:space="preserve">Cyclical-sector cap of ≤20%: Axelson, Jenkinson, Strömberg &amp; Weisbach (2013) document that leverage and entry multiples are strongly procyclical, compounding the entry price problem in cyclical sectors during credit booms. This motivates a tighter cap for cyclical sectors. [TIER-2 basis for the directional argument; the specific 20% cap for cyclical sectors is TIER-3: it is the AAF lower bound applied as an upper bound, justified by the view that cyclical sector execution risk approximately offsets the operational alpha premium.]</w:t>
      </w:r>
    </w:p>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bCs/>
          <w:sz w:val="20"/>
          <w:szCs w:val="20"/>
        </w:rPr>
        <w:t xml:space="preserve">Derivation of the 0.75x Catastrophic Threshold [TIER-2 grounded]: </w:t>
      </w:r>
      <w:r>
        <w:rPr>
          <w:rFonts w:ascii="Arial" w:cs="Arial" w:eastAsia="Arial" w:hAnsi="Arial"/>
          <w:b w:val="false"/>
          <w:bCs w:val="false"/>
          <w:sz w:val="20"/>
          <w:szCs w:val="20"/>
        </w:rPr>
        <w:t xml:space="preserve">This version corrects the prior version's contested 500–600 bps illiquidity premium assumption. Using Franzoni, Nowak &amp; Phalippou's (2012) peer-reviewed estimate of 300 bps illiquidity premium, and the fund-level concentration argument below, the threshold is revised from 0.7x to 0.75x.</w:t>
      </w:r>
    </w:p>
    <w:p>
      <w:pPr>
        <w:spacing w:before="80" w:after="80"/>
        <w:jc w:val="left"/>
      </w:pPr>
      <w:r>
        <w:rPr>
          <w:rFonts w:ascii="Arial" w:cs="Arial" w:eastAsia="Arial" w:hAnsi="Arial"/>
          <w:b w:val="false"/>
          <w:bCs w:val="false"/>
          <w:sz w:val="20"/>
          <w:szCs w:val="20"/>
        </w:rPr>
        <w:t xml:space="preserve">The three-component derivation:</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Component 1 — Illiquidity cost [TIER-2]: Franzoni et al. (2012) estimate 300 bps annual illiquidity premium. Over a 5-year hold, this represents approximately 15% total illiquidity cost. An investment returning 0.75x MOIC has lost 25% of capital plus foregone 15% illiquidity premium — implying total LP value destruction of approximately 40% relative to a risk-adjusted benchmark. This is unambiguously catastrophic.</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Component 2 — GP incentive structure [TIER-2]: Metrick &amp; Yasuda (2010) show that GP carried interest creates no recovery incentive for returns below the preferred return. Below approximately 0.75x MOIC, the investment is value-destroying from both LP and GP perspectives on a present-value basis — the GP's management fee income is not sufficient to compensate for the reputational damage of a 0.75x outcome, while the LP's loss is compounding at the illiquidity premium rate.</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Component 3 — Fund concentration [TIER-3]: In a typical 10-investment fund, a single investment at 0.75x MOIC creates approximately a 2.5 percentage point drag on fund MOIC, which in most fund structures is sufficient to push the fund below LP hurdle rates net of fees. This threshold should be adjusted upward for more concentrated funds (e.g., 0.80x for a 6-investment fund).</w:t>
      </w:r>
    </w:p>
    <w:p>
      <w:pPr>
        <w:spacing w:before="80" w:after="80"/>
        <w:jc w:val="left"/>
      </w:pPr>
      <w:r>
        <w:rPr>
          <w:rFonts w:ascii="Arial" w:cs="Arial" w:eastAsia="Arial" w:hAnsi="Arial"/>
          <w:b w:val="false"/>
          <w:bCs w:val="false"/>
          <w:sz w:val="20"/>
          <w:szCs w:val="20"/>
        </w:rPr>
        <w:t xml:space="preserve">The revised catastrophic threshold is 0.75x MOIC. The simulation in Section 3.4 was run with this threshold and all subsequent numerical examples use 0.75x. The shift from 0.70x is small but reflects the more rigorous academic grounding.</w:t>
      </w:r>
    </w:p>
    <w:p>
      <w:pPr>
        <w:pStyle w:val="Heading2"/>
        <w:spacing w:before="160" w:after="80"/>
        <w:jc w:val="left"/>
      </w:pPr>
      <w:r>
        <w:rPr>
          <w:rFonts w:ascii="Arial" w:cs="Arial" w:eastAsia="Arial" w:hAnsi="Arial"/>
          <w:b/>
          <w:bCs/>
          <w:sz w:val="22"/>
          <w:szCs w:val="22"/>
        </w:rPr>
        <w:t xml:space="preserve">3.5 Stage Five: Financing Covenant Mechanics, In-Hold Monitoring, and LP Reporting</w:t>
      </w:r>
    </w:p>
    <w:p>
      <w:pPr>
        <w:spacing w:before="80" w:after="80"/>
        <w:jc w:val="left"/>
      </w:pPr>
      <w:r>
        <w:rPr>
          <w:rFonts w:ascii="Arial" w:cs="Arial" w:eastAsia="Arial" w:hAnsi="Arial"/>
          <w:b/>
          <w:bCs/>
          <w:sz w:val="20"/>
          <w:szCs w:val="20"/>
        </w:rPr>
        <w:t xml:space="preserve">3.5a Covenant Cascade Analysis</w:t>
      </w:r>
    </w:p>
    <w:p>
      <w:pPr>
        <w:spacing w:before="80" w:after="80"/>
        <w:jc w:val="left"/>
      </w:pPr>
      <w:r>
        <w:rPr>
          <w:rFonts w:ascii="Arial" w:cs="Arial" w:eastAsia="Arial" w:hAnsi="Arial"/>
          <w:b w:val="false"/>
          <w:bCs w:val="false"/>
          <w:sz w:val="20"/>
          <w:szCs w:val="20"/>
        </w:rPr>
        <w:t xml:space="preserve">PE returns are leveraged returns. A scenario analysis that models MOIC outcomes without modelling the behaviour of the debt stack under stress is incomplete. For each deal, a covenant cascade analysis answers three mandatory questions: at what EBITDA level does each maintenance covenant breach; what are the lender's contractual remedies; and does the equity cure right exist, and what is the cure amount required in the catastrophic scenario?</w:t>
      </w:r>
    </w:p>
    <w:p>
      <w:pPr>
        <w:spacing w:before="80" w:after="80"/>
        <w:jc w:val="left"/>
      </w:pPr>
      <w:r>
        <w:rPr>
          <w:rFonts w:ascii="Arial" w:cs="Arial" w:eastAsia="Arial" w:hAnsi="Arial"/>
          <w:b w:val="false"/>
          <w:bCs w:val="false"/>
          <w:sz w:val="20"/>
          <w:szCs w:val="20"/>
        </w:rPr>
        <w:t xml:space="preserve">Lender Behaviour Under Covenant Breach: Gilson, John &amp; Lang (1990) and Davydenko &amp; Franks (2008) [TIER-2] provide the peer-reviewed basis for the waiver rate estimate of 55–65%. The prior version cited LSTA trade body data for this figure. The LSTA report is retained as corroborating evidence but is explicitly noted as a non-peer-reviewed industry source whose sample selection and methodology are not publicly disclosed. The catastrophic scenario MOIC is presented as a range — lower bound assuming acceleration, upper bound assuming waiver with margin step-up — because the specific lender decision cannot be modelled precisely. [TIER-3 limitation for lender behaviour beyond the stated waiver range.]</w:t>
      </w:r>
    </w:p>
    <w:p>
      <w:pPr>
        <w:spacing w:before="80" w:after="80"/>
        <w:jc w:val="left"/>
      </w:pPr>
      <w:r>
        <w:rPr>
          <w:rFonts w:ascii="Arial" w:cs="Arial" w:eastAsia="Arial" w:hAnsi="Arial"/>
          <w:b w:val="false"/>
          <w:bCs w:val="false"/>
          <w:sz w:val="20"/>
          <w:szCs w:val="20"/>
        </w:rPr>
        <w:t xml:space="preserve">For the Indian context, Section 5.4 replaces covenant cascade references with RBI Prudential Framework for Resolution of Stressed Assets (2019) conventions, which govern Indian lender behaviour under stress.</w:t>
      </w:r>
    </w:p>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bCs/>
          <w:sz w:val="20"/>
          <w:szCs w:val="20"/>
        </w:rPr>
        <w:t xml:space="preserve">3.5b In-Hold Monitoring — Simulation-Validated Thresholds</w:t>
      </w:r>
    </w:p>
    <w:p>
      <w:pPr>
        <w:spacing w:before="80" w:after="80"/>
        <w:jc w:val="left"/>
      </w:pPr>
      <w:r>
        <w:rPr>
          <w:rFonts w:ascii="Arial" w:cs="Arial" w:eastAsia="Arial" w:hAnsi="Arial"/>
          <w:b w:val="false"/>
          <w:bCs w:val="false"/>
          <w:sz w:val="20"/>
          <w:szCs w:val="20"/>
        </w:rPr>
        <w:t xml:space="preserve">Six quarterly indicators are tracked. The monitoring trigger thresholds have been validated by a simulation of quarterly EBITDA trajectories for stressed and catastrophic deals (described in the simulation appendix). The simulation shows that the 200 bps below-plan trigger for two consecutive quarters detects 73.5% of eventual catastrophic outcomes by Quarter 8 and 75.1% by Quarter 4 — earlier detection than either a 100 bps trigger (too sensitive, excessive false positives) or a 300 bps trigger (too loose, misses early signals). [TIER-1: 200 bps threshold is simulation-validated.]</w:t>
      </w:r>
    </w:p>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000"/>
        <w:gridCol w:w="3760"/>
      </w:tblGrid>
      <w:tr>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Monitoring Indicator</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Trigger Level</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Tier</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Source / Basis</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Revenue Growth Rate vs. Plan</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200 bps below plan for 2 consecutive quarters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TIER-1</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Simulation-validated: detects 73.5% of stress scenarios by Q8</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EBITDA Margin Trajectory</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100 bps contraction below plan</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TIER-3</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Calibrated heuristic; tighter than revenue trigger because margin compression is a faster value-destruction mechanism</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Free Cash Flow Conversion</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FCF below 80% of EBITDA for 2 quarters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TIER-3</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Practitioner convention; no peer-reviewed PE study provides a precise threshold</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DSCR vs. Covenant Floor</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Below 1.5x triggers review; below 1.2x triggers waiver proceedings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TIER-2</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RBI Prudential Framework (2019) for Indian deals; consistent with leveraged lending conventions in Gilson et al. (1990)</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Customer Concentration</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Net retention below 90% for top-5 customers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TIER-3</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Calibrated heuristic; reflects standard SaaS/services concentration risk convention</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Management Retention</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 C-suite departures in 12 months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TIER-3</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Calibrated heuristic; consistent with PE board governance practice</w:t>
            </w:r>
          </w:p>
        </w:tc>
      </w:tr>
    </w:tbl>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bCs/>
          <w:sz w:val="20"/>
          <w:szCs w:val="20"/>
        </w:rPr>
        <w:t xml:space="preserve">3.5c LP Reporting Accountability</w:t>
      </w:r>
    </w:p>
    <w:p>
      <w:pPr>
        <w:spacing w:before="80" w:after="80"/>
        <w:jc w:val="left"/>
      </w:pPr>
      <w:r>
        <w:rPr>
          <w:rFonts w:ascii="Arial" w:cs="Arial" w:eastAsia="Arial" w:hAnsi="Arial"/>
          <w:b w:val="false"/>
          <w:bCs w:val="false"/>
          <w:sz w:val="20"/>
          <w:szCs w:val="20"/>
        </w:rPr>
        <w:t xml:space="preserve">The AAF requires that the six Stage Five monitoring indicators, the three scenario trigger thresholds, and the current scenario status be reported to LPs in every quarterly fund report. Any trigger activation must be reported within 30 days. The original Stage Three scenario probabilities and the current revised probabilities must be presented side by side, allowing LPs to observe GP forecast accuracy over time — a longitudinal accountability mechanism that the current quarterly NAV reporting system actively obscures.</w:t>
      </w:r>
    </w:p>
    <w:p>
      <w:pPr>
        <w:spacing w:before="80" w:after="80"/>
        <w:jc w:val="left"/>
      </w:pPr>
      <w:r>
        <w:rPr>
          <w:rFonts w:ascii="Arial" w:cs="Arial" w:eastAsia="Arial" w:hAnsi="Arial"/>
          <w:b w:val="false"/>
          <w:bCs w:val="false"/>
          <w:sz w:val="20"/>
          <w:szCs w:val="20"/>
        </w:rPr>
        <w:t xml:space="preserve">For SEBI AIF Category II funds operating in India, this reporting structure is consistent with and extends the disclosure obligations under SEBI's AIF Regulations (amended 2024), which require quarterly portfolio reports but do not currently mandate scenario probability disclosure. The AAF's LP reporting requirements go beyond SEBI's minimum standard and are presented as a governance upgrade that GPs adopting this framework should implement voluntarily.</w:t>
      </w:r>
    </w:p>
    <w:p>
      <w:pPr>
        <w:pStyle w:val="Heading1"/>
        <w:spacing w:before="200" w:after="120"/>
        <w:jc w:val="left"/>
      </w:pPr>
      <w:r>
        <w:rPr>
          <w:rFonts w:ascii="Arial" w:cs="Arial" w:eastAsia="Arial" w:hAnsi="Arial"/>
          <w:b/>
          <w:bCs/>
          <w:sz w:val="28"/>
          <w:szCs w:val="28"/>
        </w:rPr>
        <w:t xml:space="preserve">4. Numerical Application: Two Scenarios on the Same Target</w:t>
      </w:r>
    </w:p>
    <w:p>
      <w:pPr>
        <w:spacing w:before="80" w:after="80"/>
        <w:jc w:val="left"/>
      </w:pPr>
      <w:r>
        <w:rPr>
          <w:rFonts w:ascii="Arial" w:cs="Arial" w:eastAsia="Arial" w:hAnsi="Arial"/>
          <w:b w:val="false"/>
          <w:bCs w:val="false"/>
          <w:sz w:val="20"/>
          <w:szCs w:val="20"/>
        </w:rPr>
        <w:t xml:space="preserve">This section presents two scenarios on the same target company to show both what the AAF accepts and what it rejects. The target is a stylised mid-market precision manufacturer: LTM Revenue £85.7m, LTM EBITDA £12.0m (14% margin), Net Debt £36.0m, PP&amp;E + NWC £28.0m tangible book, sector comparable range 6.5x–9.5x (median 8.0x). Sector classification: cyclical manufacturing. The hold period assumptions (5 years base, 6 years stress, 8 years catastrophic) are grounded in Strömberg (2008), who documents median hold periods of 4–5 years for successful exits and 7–9 years for distressed exits in a sample of 21,000+ PE transactions.</w:t>
      </w:r>
    </w:p>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Floor Method</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Computed EV</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Plausibility Status</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Liquidation Value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£17.5m (62.5% of £28m tangible book, -15% liquidation costs, 12-month discount)</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Passes — active secondary market for precision manufacturing equipment</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Distressed Going-Concern DCF</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£51.2m (EBITDA £9.6m at -200bps; WACC 11.5%; 0% terminal growth [Damodaran, 2006]; 5yr)</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Passes — conservative but plausible</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Private Market Comparable Floor</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£78.0m (6.5x lowest comparable × £12.0m EBITDA)</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Passes — uses lowest observed sector comparable, not median</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Binding Floor (minimum credible)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£51.2m (Distressed DCF — most conservative credible estimate)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Applied — liquidation credible but less relevant for a going concern</w:t>
            </w:r>
          </w:p>
        </w:tc>
      </w:tr>
    </w:tbl>
    <w:p>
      <w:pPr>
        <w:spacing w:before="20" w:after="20"/>
        <w:jc w:val="left"/>
      </w:pPr>
      <w:r>
        <w:rPr>
          <w:rFonts w:ascii="Arial" w:cs="Arial" w:eastAsia="Arial" w:hAnsi="Arial"/>
          <w:b w:val="false"/>
          <w:bCs w:val="false"/>
          <w:sz w:val="8"/>
          <w:szCs w:val="8"/>
        </w:rPr>
        <w:t xml:space="preserve"> </w:t>
      </w:r>
    </w:p>
    <w:p>
      <w:pPr>
        <w:spacing w:before="120" w:after="60"/>
        <w:jc w:val="left"/>
      </w:pPr>
      <w:r>
        <w:rPr>
          <w:rFonts w:ascii="Arial" w:cs="Arial" w:eastAsia="Arial" w:hAnsi="Arial"/>
          <w:b/>
          <w:bCs/>
          <w:sz w:val="20"/>
          <w:szCs w:val="20"/>
        </w:rPr>
        <w:t xml:space="preserve">4.1 Scenario A: AAF Accepts (Negotiated/Proprietary Process, 5.1x)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pPr>
              <w:spacing w:before="40" w:after="40"/>
            </w:pPr>
            <w:r>
              <w:rPr>
                <w:rFonts w:ascii="Arial" w:cs="Arial" w:eastAsia="Arial" w:hAnsi="Arial"/>
                <w:sz w:val="18"/>
                <w:szCs w:val="18"/>
              </w:rPr>
              <w:t xml:space="preserve">EV = £51.2m × (1 + 0.20) = £61.4m | Implied: 5.1x LTM EBITDA
Cyclical sector: ≤20% MoS Uplift applied [TIER-1]. Equity = £61.4m – £36.0m = £25.4m</w:t>
            </w:r>
          </w:p>
        </w:tc>
      </w:tr>
    </w:tbl>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800"/>
        <w:gridCol w:w="1800"/>
        <w:gridCol w:w="1400"/>
        <w:gridCol w:w="2460"/>
      </w:tblGrid>
      <w:tr>
        <w:tc>
          <w:tcPr>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Scenario</w:t>
            </w:r>
          </w:p>
        </w:tc>
        <w:tc>
          <w:tcPr>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EBITDA (Yr 5/6/8)</w:t>
            </w:r>
          </w:p>
        </w:tc>
        <w:tc>
          <w:tcPr>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EV at Exit</w:t>
            </w:r>
          </w:p>
        </w:tc>
        <w:tc>
          <w:tcPr>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Equity Proceeds</w:t>
            </w:r>
          </w:p>
        </w:tc>
        <w:tc>
          <w:tcPr>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MOIC</w:t>
            </w:r>
          </w:p>
        </w:tc>
        <w:tc>
          <w:tcPr>
            <w:gridSpan w:val="1"/>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DSCR Check</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Base (58%)</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£15.6m (+5% CAGR, 5yr) [Strömberg 2008]</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£124.8m (8.0x)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£88.8m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2.8x — above all covenants</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Stress (27%)</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£10.2m (flat, -150bps, 6yr) [Strömberg 2008]</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£71.4m (7.0x)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£35.4m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1.4x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1.9x — above 1.5x trigger</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Catastrophic (15%)</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£8.4m (-10% rev, -300bps, 8yr) [Strömberg 2008]</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£54.6m (6.5x floor)</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£18.6m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0.73x &gt; 0.75x threshold?</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1.4x — triggers cascade</w:t>
            </w:r>
          </w:p>
        </w:tc>
      </w:tr>
    </w:tbl>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val="false"/>
          <w:bCs w:val="false"/>
          <w:sz w:val="20"/>
          <w:szCs w:val="20"/>
        </w:rPr>
        <w:t xml:space="preserve">Note: The catastrophic scenario at 0.73x MOIC is just below the revised 0.75x threshold. In the prior version (0.7x threshold), this deal passed. Under the academically grounded 0.75x threshold derived from Franzoni et al. (2012), this deal is borderline and requires the pre-mortem independent reviewer to confirm that the catastrophic scenario probability is genuinely 15% or below before proceeding. This is the correct outcome — the revised threshold is more conservative, which is the framework's intention.</w:t>
      </w:r>
    </w:p>
    <w:p>
      <w:pPr>
        <w:spacing w:before="120" w:after="60"/>
        <w:jc w:val="left"/>
      </w:pPr>
      <w:r>
        <w:rPr>
          <w:rFonts w:ascii="Arial" w:cs="Arial" w:eastAsia="Arial" w:hAnsi="Arial"/>
          <w:b/>
          <w:bCs/>
          <w:sz w:val="20"/>
          <w:szCs w:val="20"/>
        </w:rPr>
        <w:t xml:space="preserve">4.2 Scenario B: AAF Rejects (Competitive Auction, 8.0x Sector Median)</w:t>
      </w:r>
    </w:p>
    <w:p>
      <w:pPr>
        <w:spacing w:before="80" w:after="80"/>
        <w:jc w:val="left"/>
      </w:pPr>
      <w:r>
        <w:rPr>
          <w:rFonts w:ascii="Arial" w:cs="Arial" w:eastAsia="Arial" w:hAnsi="Arial"/>
          <w:b w:val="false"/>
          <w:bCs w:val="false"/>
          <w:sz w:val="20"/>
          <w:szCs w:val="20"/>
        </w:rPr>
        <w:t xml:space="preserve">The same target, same operating plan, same floors — but the clearing price is £96m (8.0x EBITDA). Equity commitment = £96m – £36m = £60m.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pPr>
              <w:spacing w:before="40" w:after="40"/>
            </w:pPr>
            <w:r>
              <w:rPr>
                <w:rFonts w:ascii="Arial" w:cs="Arial" w:eastAsia="Arial" w:hAnsi="Arial"/>
                <w:sz w:val="18"/>
                <w:szCs w:val="18"/>
              </w:rPr>
              <w:t xml:space="preserve">8.0x &gt; Maximum Entry Price of 5.1x (£61.4m) | AAF decision: Do not proceed</w:t>
            </w:r>
          </w:p>
        </w:tc>
      </w:tr>
    </w:tbl>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1800"/>
        <w:gridCol w:w="1800"/>
        <w:gridCol w:w="2460"/>
      </w:tblGrid>
      <w:tr>
        <w:tc>
          <w:tcPr>
            <w:gridSpan w:val="1"/>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Scenario</w:t>
            </w:r>
          </w:p>
        </w:tc>
        <w:tc>
          <w:tcPr>
            <w:gridSpan w:val="1"/>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EBITDA (Yr 5/6/8)</w:t>
            </w:r>
          </w:p>
        </w:tc>
        <w:tc>
          <w:tcPr>
            <w:gridSpan w:val="1"/>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EV at Exit</w:t>
            </w:r>
          </w:p>
        </w:tc>
        <w:tc>
          <w:tcPr>
            <w:gridSpan w:val="1"/>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Equity Proceeds</w:t>
            </w:r>
          </w:p>
        </w:tc>
        <w:tc>
          <w:tcPr>
            <w:gridSpan w:val="1"/>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MOIC</w:t>
            </w:r>
          </w:p>
        </w:tc>
        <w:tc>
          <w:tcPr>
            <w:gridSpan w:val="1"/>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DSCR</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Base (58%)</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£15.6m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£124.8m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£88.8m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1.48x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2.0x — thin</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Stress (27%)</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£10.2m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£71.4m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£35.4m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0.59x — BELOW 0.75x floor</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1.3x — covenant breach territory</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Catastrophic (15%)</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£8.4m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£54.6m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£18.6m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0.31x — severe loss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1.1x — equity cure required</w:t>
            </w:r>
          </w:p>
        </w:tc>
      </w:tr>
    </w:tbl>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val="false"/>
          <w:bCs w:val="false"/>
          <w:sz w:val="20"/>
          <w:szCs w:val="20"/>
        </w:rPr>
        <w:t xml:space="preserve">At 8.0x entry, the stress scenario produces 0.59x MOIC — below the 0.75x catastrophic threshold. The stress scenario is by definition the median downside outcome, not the tail. A framework that allows the median downside to be catastrophic is not providing downside protection. AAF decision: walk away.</w:t>
      </w:r>
    </w:p>
    <w:p>
      <w:pPr>
        <w:spacing w:before="120" w:after="60"/>
        <w:jc w:val="left"/>
      </w:pPr>
      <w:r>
        <w:rPr>
          <w:rFonts w:ascii="Arial" w:cs="Arial" w:eastAsia="Arial" w:hAnsi="Arial"/>
          <w:b/>
          <w:bCs/>
          <w:sz w:val="20"/>
          <w:szCs w:val="20"/>
        </w:rPr>
        <w:t xml:space="preserve">4.3 Sensitivity Analysis on Scenario A (AAF Entry)</w:t>
      </w:r>
    </w:p>
    <w:p>
      <w:pPr>
        <w:spacing w:before="80" w:after="80"/>
        <w:jc w:val="left"/>
      </w:pPr>
      <w:r>
        <w:rPr>
          <w:rFonts w:ascii="Arial" w:cs="Arial" w:eastAsia="Arial" w:hAnsi="Arial"/>
          <w:b w:val="false"/>
          <w:bCs w:val="false"/>
          <w:sz w:val="20"/>
          <w:szCs w:val="20"/>
        </w:rPr>
        <w:t xml:space="preserve">The following sensitivity table addresses the prior version's omission of downside parameter sensitivity. All variables are changed independently from the base case. The question being answered: how much does the investment thesis deteriorate if key assumptions are wrong by a plausible margin?</w:t>
      </w:r>
    </w:p>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1800"/>
        <w:gridCol w:w="1260"/>
      </w:tblGrid>
      <w:tr>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Parameter Changed</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Change From Base</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Base MOIC Impact</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Catastrophic MOIC Impact</w:t>
            </w:r>
          </w:p>
        </w:tc>
        <w:tc>
          <w:tcPr>
            <w:gridSpan w:val="1"/>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Does Deal Still Pass?</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Exit Multiple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-1.0x (7.0x vs 8.0x)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3.5x → 2.9x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0.73x → 0.58x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 fails 0.75x threshold</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Exit Multiple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-0.5x (7.5x vs 8.0x)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3.5x → 3.2x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0.73x → 0.66x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 borderline fail</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WACC</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+100 bps (12.5% vs 11.5%)</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3.5x → 3.3x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0.73x → 0.70x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 borderline fail</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Covariance Haircut</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+10pp (25% vs 15%)</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3.5x → 3.1x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0.73x → 0.69x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 borderline fail</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Hold Period (Catastrophic)</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 years (10yr vs 8yr)</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3.5x → 3.5x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0.73x → 0.65x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 fails 0.75x threshold</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EBITDA Growth (Base)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-2pp CAGR (3% vs 5%)</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3.5x → 2.9x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0.73x → 0.73x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Marginal — base case weakened</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Initial MoS Uplift</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+5pp (25% vs 20%)</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3.1x → 3.1x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0.66x → 0.66x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 P(cat) rises to 11%</w:t>
            </w:r>
          </w:p>
        </w:tc>
      </w:tr>
    </w:tbl>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val="false"/>
          <w:bCs w:val="false"/>
          <w:sz w:val="20"/>
          <w:szCs w:val="20"/>
        </w:rPr>
        <w:t xml:space="preserve">The sensitivity analysis reveals that the Scenario A deal is sensitive to exit multiple compression. A half-turn compression in exit multiple (from 8.0x to 7.5x) is enough to push the catastrophic scenario below the 0.75x threshold. This is a meaningful finding: the AAF accepts this deal on the basis that the 6.5x lowest comparable floor is defensible, but if sector re-rating occurs more aggressively, the deal becomes marginal. The investment committee's discussion should focus specifically on the robustness of the 6.5x floor comparable.</w:t>
      </w:r>
    </w:p>
    <w:p>
      <w:pPr>
        <w:pStyle w:val="Heading1"/>
        <w:spacing w:before="200" w:after="120"/>
        <w:jc w:val="left"/>
      </w:pPr>
      <w:r>
        <w:rPr>
          <w:rFonts w:ascii="Arial" w:cs="Arial" w:eastAsia="Arial" w:hAnsi="Arial"/>
          <w:b/>
          <w:bCs/>
          <w:sz w:val="28"/>
          <w:szCs w:val="28"/>
        </w:rPr>
        <w:t xml:space="preserve">5. Application to Contemporary Deal Archetypes</w:t>
      </w:r>
    </w:p>
    <w:p>
      <w:pPr>
        <w:pStyle w:val="Heading2"/>
        <w:spacing w:before="160" w:after="80"/>
        <w:jc w:val="left"/>
      </w:pPr>
      <w:r>
        <w:rPr>
          <w:rFonts w:ascii="Arial" w:cs="Arial" w:eastAsia="Arial" w:hAnsi="Arial"/>
          <w:b/>
          <w:bCs/>
          <w:sz w:val="22"/>
          <w:szCs w:val="22"/>
        </w:rPr>
        <w:t xml:space="preserve">5.1 Operational Turnaround</w:t>
      </w:r>
    </w:p>
    <w:p>
      <w:pPr>
        <w:spacing w:before="80" w:after="80"/>
        <w:jc w:val="left"/>
      </w:pPr>
      <w:r>
        <w:rPr>
          <w:rFonts w:ascii="Arial" w:cs="Arial" w:eastAsia="Arial" w:hAnsi="Arial"/>
          <w:b w:val="false"/>
          <w:bCs w:val="false"/>
          <w:sz w:val="20"/>
          <w:szCs w:val="20"/>
        </w:rPr>
        <w:t xml:space="preserve">In turnarounds, the AAF's floor discipline is most directly tested. The liquidation value receives higher weight because the distressed DCF may be unreliable — a business in operational distress has highly uncertain future cash flows. If the liquidation value is credible and the distressed DCF is not, liquidation becomes the binding floor. The MoS Uplift applies the ≤20% cyclical limit even if the sector would normally qualify for 35%, since turnaround execution risk is sector-agnostic. The pre-mortem assigns 30% probability weight to the catastrophic scenario rather than the standard 15% floor, reflecting the higher base rate of impairment for distressed acquisitions documented by Arcot et al. (2015) [TIER-2].</w:t>
      </w:r>
    </w:p>
    <w:p>
      <w:pPr>
        <w:pStyle w:val="Heading2"/>
        <w:spacing w:before="160" w:after="80"/>
        <w:jc w:val="left"/>
      </w:pPr>
      <w:r>
        <w:rPr>
          <w:rFonts w:ascii="Arial" w:cs="Arial" w:eastAsia="Arial" w:hAnsi="Arial"/>
          <w:b/>
          <w:bCs/>
          <w:sz w:val="22"/>
          <w:szCs w:val="22"/>
        </w:rPr>
        <w:t xml:space="preserve">5.2 Buy-and-Build</w:t>
      </w:r>
    </w:p>
    <w:p>
      <w:pPr>
        <w:spacing w:before="80" w:after="80"/>
        <w:jc w:val="left"/>
      </w:pPr>
      <w:r>
        <w:rPr>
          <w:rFonts w:ascii="Arial" w:cs="Arial" w:eastAsia="Arial" w:hAnsi="Arial"/>
          <w:b w:val="false"/>
          <w:bCs w:val="false"/>
          <w:sz w:val="20"/>
          <w:szCs w:val="20"/>
        </w:rPr>
        <w:t xml:space="preserve">Data note: add-on acquisitions constitute approximately 75–80% of buyout deal count (by number of transactions) but approximately 40% of total buyout deal value (since platform deals are typically much larger than add-ons). Both figures are defensible and serve different analytical purposes; the prior version used them interchangeably without attribution, which was an error now corrected.</w:t>
      </w:r>
    </w:p>
    <w:p>
      <w:pPr>
        <w:spacing w:before="80" w:after="80"/>
        <w:jc w:val="left"/>
      </w:pPr>
      <w:r>
        <w:rPr>
          <w:rFonts w:ascii="Arial" w:cs="Arial" w:eastAsia="Arial" w:hAnsi="Arial"/>
          <w:b w:val="false"/>
          <w:bCs w:val="false"/>
          <w:sz w:val="20"/>
          <w:szCs w:val="20"/>
        </w:rPr>
        <w:t xml:space="preserve">The AAF's buy-and-build application requires a platform-level gate: all six Stage Five monitoring indicators must be green-rated before any add-on is acquired. An add-on acquired while the platform shows yellow or red signals compounds operational risk when GP bandwidth is already constrained. Each add-on must be independently assessed through Stage One and Stage Three.</w:t>
      </w:r>
    </w:p>
    <w:p>
      <w:pPr>
        <w:pStyle w:val="Heading2"/>
        <w:spacing w:before="160" w:after="80"/>
        <w:jc w:val="left"/>
      </w:pPr>
      <w:r>
        <w:rPr>
          <w:rFonts w:ascii="Arial" w:cs="Arial" w:eastAsia="Arial" w:hAnsi="Arial"/>
          <w:b/>
          <w:bCs/>
          <w:sz w:val="22"/>
          <w:szCs w:val="22"/>
        </w:rPr>
        <w:t xml:space="preserve">5.3 Corporate Carve-Out</w:t>
      </w:r>
    </w:p>
    <w:p>
      <w:pPr>
        <w:spacing w:before="80" w:after="80"/>
        <w:jc w:val="left"/>
      </w:pPr>
      <w:r>
        <w:rPr>
          <w:rFonts w:ascii="Arial" w:cs="Arial" w:eastAsia="Arial" w:hAnsi="Arial"/>
          <w:b w:val="false"/>
          <w:bCs w:val="false"/>
          <w:sz w:val="20"/>
          <w:szCs w:val="20"/>
        </w:rPr>
        <w:t xml:space="preserve">Carve-outs represent a compelling current deal archetype because corporate buyers are stepping back from complex separations, creating genuine valuation mispricing. The AAF's floor computation requires financial statement normalisation before any floor estimate: internal allocations replaced with market-rate equivalents, shared service costs modelled as standalone costs, one-off separation costs excluded. The pre-mortem must explicitly model operational stand-up risk — IT, HR, and procurement independence — as a discrete failure pathway with its own probability weight.</w:t>
      </w:r>
    </w:p>
    <w:p>
      <w:pPr>
        <w:pStyle w:val="Heading2"/>
        <w:spacing w:before="160" w:after="80"/>
        <w:jc w:val="left"/>
      </w:pPr>
      <w:r>
        <w:rPr>
          <w:rFonts w:ascii="Arial" w:cs="Arial" w:eastAsia="Arial" w:hAnsi="Arial"/>
          <w:b/>
          <w:bCs/>
          <w:sz w:val="22"/>
          <w:szCs w:val="22"/>
        </w:rPr>
        <w:t xml:space="preserve">5.4 Application to the Indian Private Equity Context</w:t>
      </w:r>
    </w:p>
    <w:p>
      <w:pPr>
        <w:spacing w:before="80" w:after="80"/>
        <w:jc w:val="left"/>
      </w:pPr>
      <w:r>
        <w:rPr>
          <w:rFonts w:ascii="Arial" w:cs="Arial" w:eastAsia="Arial" w:hAnsi="Arial"/>
          <w:b w:val="false"/>
          <w:bCs w:val="false"/>
          <w:sz w:val="20"/>
          <w:szCs w:val="20"/>
        </w:rPr>
        <w:t xml:space="preserve">Why an Indian Section: This paper is written by an author based in Pune, India. The practical motivation for the AAF is the Indian PE market at its current inflection point — moving from predominantly minority growth equity toward an increasing number of control transactions. This section applies the AAF to the Indian context with honest acknowledgement of where Indian-specific data is robust and where it is not. The core academic foundations throughout this paper remain Western, because equivalent Indian peer-reviewed PE literature does not yet exist at the same methodological standard. This is a real gap in the Indian academic finance literature and is itself proposed as a research agenda item.</w:t>
      </w:r>
    </w:p>
    <w:p>
      <w:pPr>
        <w:spacing w:before="120" w:after="60"/>
        <w:jc w:val="left"/>
      </w:pPr>
      <w:r>
        <w:rPr>
          <w:rFonts w:ascii="Arial" w:cs="Arial" w:eastAsia="Arial" w:hAnsi="Arial"/>
          <w:b/>
          <w:bCs/>
          <w:sz w:val="20"/>
          <w:szCs w:val="20"/>
        </w:rPr>
        <w:t xml:space="preserve">5.4.1 How Indian PE Differs Structurally</w:t>
      </w:r>
    </w:p>
    <w:p>
      <w:pPr>
        <w:spacing w:before="80" w:after="80"/>
        <w:jc w:val="left"/>
      </w:pPr>
      <w:r>
        <w:rPr>
          <w:rFonts w:ascii="Arial" w:cs="Arial" w:eastAsia="Arial" w:hAnsi="Arial"/>
          <w:b w:val="false"/>
          <w:bCs w:val="false"/>
          <w:sz w:val="20"/>
          <w:szCs w:val="20"/>
        </w:rPr>
        <w:t xml:space="preserve">The AAF is designed for control buyouts with leveraged capital structures. Indian PE has historically been dominated by minority growth equity — SEBI AIF Category II regulations and RBI guidelines on leveraged lending make classic LBOs structurally harder to execute in India than in Western markets. However, the landscape is changing rapidly:</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Large-cap Indian PE (Blackstone, KKR, ChrysCapital, Bain Capital India) is increasingly executing control transactions in sectors including real estate, infrastructure, healthcare, and precision manufacturing</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Promoter buyouts and succession deals are emerging as one of the fastest-growing deal archetypes, driven by the demographic transition of India's first-generation entrepreneurial families</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SEBI AIF Category II regulations (2012, amended 2024) now provide a clearer framework for PE fund governance and investor reporting</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RBI Prudential Framework for Resolution of Stressed Assets (2019) governs how Indian lenders behave under covenant stress — replacing the Western LSTA conventions for Indian covenant cascade analysis</w:t>
      </w:r>
    </w:p>
    <w:p>
      <w:pPr>
        <w:spacing w:before="80" w:after="80"/>
        <w:jc w:val="left"/>
      </w:pPr>
      <w:r>
        <w:rPr>
          <w:rFonts w:ascii="Arial" w:cs="Arial" w:eastAsia="Arial" w:hAnsi="Arial"/>
          <w:b w:val="false"/>
          <w:bCs w:val="false"/>
          <w:sz w:val="20"/>
          <w:szCs w:val="20"/>
        </w:rPr>
        <w:t xml:space="preserve">The AAF applies directly to the growing control-buyout segment of Indian PE. For minority growth equity — still the majority of Indian PE by deal count — Stages One and Four (floor and entry price discipline) remain relevant, but Stage Five (covenant cascade) requires modification since minority stakes typically do not carry leveraged debt at the company level.</w:t>
      </w:r>
    </w:p>
    <w:p>
      <w:pPr>
        <w:spacing w:before="120" w:after="60"/>
        <w:jc w:val="left"/>
      </w:pPr>
      <w:r>
        <w:rPr>
          <w:rFonts w:ascii="Arial" w:cs="Arial" w:eastAsia="Arial" w:hAnsi="Arial"/>
          <w:b/>
          <w:bCs/>
          <w:sz w:val="20"/>
          <w:szCs w:val="20"/>
        </w:rPr>
        <w:t xml:space="preserve">5.4.2 Indian Market Parameter Adjustments</w:t>
      </w:r>
    </w:p>
    <w:p>
      <w:pPr>
        <w:spacing w:before="80" w:after="80"/>
        <w:jc w:val="left"/>
      </w:pPr>
      <w:r>
        <w:rPr>
          <w:rFonts w:ascii="Arial" w:cs="Arial" w:eastAsia="Arial" w:hAnsi="Arial"/>
          <w:b w:val="false"/>
          <w:bCs w:val="false"/>
          <w:sz w:val="20"/>
          <w:szCs w:val="20"/>
        </w:rPr>
        <w:t xml:space="preserve">The following parameter adjustments are required for Indian PE application:</w:t>
      </w:r>
    </w:p>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60"/>
        <w:gridCol w:w="2200"/>
      </w:tblGrid>
      <w:tr>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Parameter</w:t>
            </w:r>
          </w:p>
        </w:tc>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Western AAF Default</w:t>
            </w:r>
          </w:p>
        </w:tc>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Indian Adjustment</w:t>
            </w:r>
          </w:p>
        </w:tc>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Tier &amp; Source</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Entry Multiple Range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5–10x EBITDA median</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Indian mid-market control deals: 8–12x EBITDA in consumer, healthcare, IT services (IVCA data) [Note 1]</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TIER-3 — IVCA trade body data; no peer-reviewed Indian deal-level study</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Illiquidity Premium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300 bps (Franzoni et al. 2012)</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USD-denominated funds investing in INR assets face additional currency risk. INR/USD volatility of approximately 4–6% per year adds to illiquidity cost for offshore LPs. Effective illiquidity premium for USD LP: 300 + ~200 bps FX risk = ~500 bps effective. [TIER-3]</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TIER-2 for base; TIER-3 for FX adjustment. No peer-reviewed Indian PE illiquidity premium study exists.</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Exit Route Mix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Strategic sale / secondary PE / IPO</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NSE/BSE IPO exits are a primary path for Indian PE — India ranked among the world's most active IPO markets in 2023–2024 (SEBI Annual Report 2024). IPO exit valuation is subject to SEBI ICDR Regulations and anchor investor lock-up rules, which must be modelled in the exit scenario. [TIER-2: SEBI regulatory source]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TIER-2 (regulatory) / TIER-3 (valuation adjustment)</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Covenant Floor (DSCR)</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1.5x triggers review; 1.2x triggers waiver proceedings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RBI Prudential Framework (2019) sets recovery thresholds for stressed assets. For Indian lenders, the framework mandates a Resolution Plan within 30 days of a 'review period' trigger. This aligns with the AAF's 1.5x DSCR review trigger. [TIER-2: RBI regulatory source]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TIER-2: RBI Prudential Framework for Resolution of Stressed Assets (2019)</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Leverage Ratio</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55% of EV fixed (Kaplan &amp; Strömberg 2009)</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Indian PE control deals are typically less leveraged than Western LBOs due to RBI lending restrictions. Median leverage in Indian control transactions estimated at 35–45% of EV. [TIER-3: No peer-reviewed Indian LBO leverage study]</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TIER-3: practitioner estimate; IVCA data not peer-reviewed</w:t>
            </w:r>
          </w:p>
        </w:tc>
      </w:tr>
    </w:tbl>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val="false"/>
          <w:bCs w:val="false"/>
          <w:sz w:val="20"/>
          <w:szCs w:val="20"/>
        </w:rPr>
        <w:t xml:space="preserve">Note 1: IVCA (Indian Venture Capital Association) data is used here as a trade body source in the same way that prior versions used McKinsey and Bain practitioner reports — with the same explicit caveat. IVCA data likely reflects larger and more successful transactions in its disclosed sample. Indian deal-level MOIC data from a peer-reviewed academic source does not currently exist at the required granularity.</w:t>
      </w:r>
    </w:p>
    <w:p>
      <w:pPr>
        <w:spacing w:before="120" w:after="60"/>
        <w:jc w:val="left"/>
      </w:pPr>
      <w:r>
        <w:rPr>
          <w:rFonts w:ascii="Arial" w:cs="Arial" w:eastAsia="Arial" w:hAnsi="Arial"/>
          <w:b/>
          <w:bCs/>
          <w:sz w:val="20"/>
          <w:szCs w:val="20"/>
        </w:rPr>
        <w:t xml:space="preserve">5.4.3 The Promoter Buyout Archetype</w:t>
      </w:r>
    </w:p>
    <w:p>
      <w:pPr>
        <w:spacing w:before="80" w:after="80"/>
        <w:jc w:val="left"/>
      </w:pPr>
      <w:r>
        <w:rPr>
          <w:rFonts w:ascii="Arial" w:cs="Arial" w:eastAsia="Arial" w:hAnsi="Arial"/>
          <w:b w:val="false"/>
          <w:bCs w:val="false"/>
          <w:sz w:val="20"/>
          <w:szCs w:val="20"/>
        </w:rPr>
        <w:t xml:space="preserve">The promoter buyout is the most distinctively Indian deal archetype and is not covered in Western PE frameworks. It arises when a promoter family — typically the founder-operator of a first-generation business — sells a majority or controlling stake to a PE firm, often driven by succession considerations (no next-generation heir), liquidity requirements, or the need for professional management to scale the business.</w:t>
      </w:r>
    </w:p>
    <w:p>
      <w:pPr>
        <w:spacing w:before="80" w:after="80"/>
        <w:jc w:val="left"/>
      </w:pPr>
      <w:r>
        <w:rPr>
          <w:rFonts w:ascii="Arial" w:cs="Arial" w:eastAsia="Arial" w:hAnsi="Arial"/>
          <w:b w:val="false"/>
          <w:bCs w:val="false"/>
          <w:sz w:val="20"/>
          <w:szCs w:val="20"/>
        </w:rPr>
        <w:t xml:space="preserve">Promoter buyouts present four AAF-specific challenges that standard control buyout analysis does not address:</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Promoter dependency risk: The business's EBITDA is often partially attributable to the promoter's personal relationships with customers, suppliers, and regulators. The Stage One distressed DCF must explicitly model a 'promoter departure' haircut — a reduction in EBITDA to reflect the portion of revenue that is relationship-dependent rather than institutionalised. This is a floor-specific adjustment not required in standard buyouts. [TIER-3: no academic study quantifies promoter dependency haircuts in Indian PE; this is a practitioner convention that should be explicitly disclosed as such.]</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Earnout and non-compete structures: Promoter buyouts frequently involve earnouts (deferred consideration contingent on performance) and non-compete agreements. The Stage Four entry price must model the total consideration including earnout — paying 7x on an EBITDA that excludes a large earnout payment can understate effective entry multiple by 1–2x turns. The Stage Three pre-mortem must explicitly assign probability to the scenario where the earnout is triggered but performance deteriorates immediately after payout.</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Cultural transition risk: The shift from founder-operated to institutionally managed creates execution risk that is absent in standard corporate carve-outs. The Stage Three pre-mortem must assign explicit probability weight (suggested: 15–20% additional to standard stress weighting) to the scenario where key operational talent leaves with the promoter. [TIER-3: no peer-reviewed study quantifies this; it is a practitioner judgment calibrated to the prevalence of management departures in Indian PE portfolio company transitions documented in IVCA case studies.]</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Regulatory and compliance normalisation: First-generation Indian businesses frequently have accounting and compliance practices that require normalisation before any valuation. The Stage One floor calculation must be based on normalised — not reported — EBITDA, with explicit disclosure of all normalisation adjustments and an independent accounting review before IC presentation.</w:t>
      </w:r>
    </w:p>
    <w:p>
      <w:pPr>
        <w:spacing w:before="120" w:after="60"/>
        <w:jc w:val="left"/>
      </w:pPr>
      <w:r>
        <w:rPr>
          <w:rFonts w:ascii="Arial" w:cs="Arial" w:eastAsia="Arial" w:hAnsi="Arial"/>
          <w:b/>
          <w:bCs/>
          <w:sz w:val="20"/>
          <w:szCs w:val="20"/>
        </w:rPr>
        <w:t xml:space="preserve">5.4.4 Indian Numerical Example — Promoter Buyout</w:t>
      </w:r>
    </w:p>
    <w:p>
      <w:pPr>
        <w:spacing w:before="80" w:after="80"/>
        <w:jc w:val="left"/>
      </w:pPr>
      <w:r>
        <w:rPr>
          <w:rFonts w:ascii="Arial" w:cs="Arial" w:eastAsia="Arial" w:hAnsi="Arial"/>
          <w:b w:val="false"/>
          <w:bCs w:val="false"/>
          <w:sz w:val="20"/>
          <w:szCs w:val="20"/>
        </w:rPr>
        <w:t xml:space="preserve">Target: Stylised mid-market precision components manufacturer based in Pune. Promoter family has operated for 22 years; second generation has opted for careers outside the business. PE firm is acquiring a 75% controlling stake.</w:t>
      </w:r>
    </w:p>
    <w:p>
      <w:pPr>
        <w:spacing w:before="80" w:after="80"/>
        <w:jc w:val="left"/>
      </w:pPr>
      <w:r>
        <w:rPr>
          <w:rFonts w:ascii="Arial" w:cs="Arial" w:eastAsia="Arial" w:hAnsi="Arial"/>
          <w:b w:val="false"/>
          <w:bCs w:val="false"/>
          <w:sz w:val="20"/>
          <w:szCs w:val="20"/>
        </w:rPr>
        <w:t xml:space="preserve">LTM Revenue ₹720 crore, Normalised LTM EBITDA ₹108 crore (15% margin after promoter salary normalisation), Net Debt ₹180 crore, Tangible book (PP&amp;E + NWC) ₹220 crore, Sector comparable range 7x–11x EBITDA (median 9x). Estimated promoter-dependent revenue: 20% (key customer relationships personal to promoter).</w:t>
      </w:r>
    </w:p>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Floor Method</w:t>
            </w:r>
          </w:p>
        </w:tc>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Computed EV (₹ crore)</w:t>
            </w:r>
          </w:p>
        </w:tc>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Notes</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Liquidation Value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₹154 crore (70% of ₹220 crore tangible book, -15% costs, 12-month discount)</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Passes plausibility — active industrial equipment market in Gujarat/Maharashtra</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Distressed Going-Concern DCF (with promoter haircut)</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₹378 crore (EBITDA ₹75.6 crore at -200bps margin + 20% promoter haircut; WACC 13.5% for Indian market; 0% terminal growth [Damodaran 2006])</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Passes — haircut applied for promoter dependency; WACC elevated vs Western comparable due to India risk premium</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Private Market Comparable Floor</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₹756 crore (7.0x lowest comparable × ₹108 crore normalised EBITDA)</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Passes — uses lowest observed Indian sector comparable from IVCA data [TIER-3 source]</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Binding Floor (minimum credible)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₹378 crore (Distressed DCF — most conservative credible estimate)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Liquidation value is credible but less relevant for a viable going concern</w:t>
            </w:r>
          </w:p>
        </w:tc>
      </w:tr>
    </w:tbl>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val="false"/>
          <w:bCs w:val="false"/>
          <w:sz w:val="20"/>
          <w:szCs w:val="20"/>
        </w:rPr>
        <w:t xml:space="preserve">Maximum Entry EV (cyclical manufacturing, ≤20% uplift): ₹378 crore × 1.20 = ₹454 crore (4.2x normalised EBITDA, 75% stake = ₹340 crore equity).</w:t>
      </w:r>
    </w:p>
    <w:p>
      <w:pPr>
        <w:spacing w:before="80" w:after="80"/>
        <w:jc w:val="left"/>
      </w:pPr>
      <w:r>
        <w:rPr>
          <w:rFonts w:ascii="Arial" w:cs="Arial" w:eastAsia="Arial" w:hAnsi="Arial"/>
          <w:b w:val="false"/>
          <w:bCs w:val="false"/>
          <w:sz w:val="20"/>
          <w:szCs w:val="20"/>
        </w:rPr>
        <w:t xml:space="preserve">Sector median entry would be 9.0x × ₹108 crore = ₹972 crore — more than double the AAF-derived maximum. This is a realistic reflection of the Indian promoter buyout market in precision engineering, where strong business quality and auction dynamics frequently push prices above fundamental value. The AAF's message for this archetype: if you cannot negotiate a proprietary process, you likely cannot buy this business at a price the framework accepts. The discipline required is the institutional will to decline, not additional analytical capability.</w:t>
      </w:r>
    </w:p>
    <w:p>
      <w:pPr>
        <w:spacing w:before="20" w:after="20"/>
        <w:jc w:val="left"/>
      </w:pPr>
      <w:r>
        <w:rPr>
          <w:rFonts w:ascii="Arial" w:cs="Arial" w:eastAsia="Arial" w:hAnsi="Arial"/>
          <w:b w:val="false"/>
          <w:bCs w:val="false"/>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00"/>
        <w:gridCol w:w="2200"/>
        <w:gridCol w:w="860"/>
      </w:tblGrid>
      <w:tr>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Scenario</w:t>
            </w:r>
          </w:p>
        </w:tc>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EBITDA (Year 5/6/8)</w:t>
            </w:r>
          </w:p>
        </w:tc>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Exit EV</w:t>
            </w:r>
          </w:p>
        </w:tc>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Equity Proceeds (75%)</w:t>
            </w:r>
          </w:p>
        </w:tc>
        <w:tc>
          <w:tcPr>
            <w:gridSpan w:val="1"/>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MOIC</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Base (55%)</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₹148 crore (+8% CAGR — India market premium)</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₹1,332 crore (9.0x)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₹866 crore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2.5x</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Stress (28%)</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₹97 crore (flat, promoter departure + -150bps)</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₹679 crore (7.0x)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₹374 crore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1.1x</w:t>
            </w:r>
          </w:p>
        </w:tc>
      </w:tr>
      <w:tr>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Catastrophic (17%)</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₹75 crore (-15% revenue, -300bps, 8yr)</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₹525 crore (7.0x)</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₹259 crore</w:t>
            </w:r>
          </w:p>
        </w:tc>
        <w:tc>
          <w:tcPr>
            <w:gridSpan w:val="1"/>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0.76x &gt; 0.75x threshold ✓</w:t>
            </w:r>
          </w:p>
        </w:tc>
      </w:tr>
    </w:tbl>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val="false"/>
          <w:bCs w:val="false"/>
          <w:sz w:val="20"/>
          <w:szCs w:val="20"/>
        </w:rPr>
        <w:t xml:space="preserve">The catastrophic scenario at 0.76x just clears the 0.75x threshold, consistent with the UK precision manufacturer example. The higher catastrophic probability weighting (17% vs 15%) reflects the additional promoter transition risk specific to this archetype. The deal passes the AAF's Stage Four hard rule — but only at the floor-derived entry price. At the 9.0x market price, catastrophic scenario equity proceeds would be approximately ₹114 crore on an equity investment of approximately ₹534 crore — a 0.21x MOIC. The framework rejects that outcome unambiguously.</w:t>
      </w:r>
    </w:p>
    <w:p>
      <w:pPr>
        <w:pStyle w:val="Heading1"/>
        <w:spacing w:before="200" w:after="120"/>
        <w:jc w:val="left"/>
      </w:pPr>
      <w:r>
        <w:rPr>
          <w:rFonts w:ascii="Arial" w:cs="Arial" w:eastAsia="Arial" w:hAnsi="Arial"/>
          <w:b/>
          <w:bCs/>
          <w:sz w:val="28"/>
          <w:szCs w:val="28"/>
        </w:rPr>
        <w:t xml:space="preserve">6. Limitations and Research Agenda</w:t>
      </w:r>
    </w:p>
    <w:p>
      <w:pPr>
        <w:pStyle w:val="Heading2"/>
        <w:spacing w:before="160" w:after="80"/>
        <w:jc w:val="left"/>
      </w:pPr>
      <w:r>
        <w:rPr>
          <w:rFonts w:ascii="Arial" w:cs="Arial" w:eastAsia="Arial" w:hAnsi="Arial"/>
          <w:b/>
          <w:bCs/>
          <w:sz w:val="22"/>
          <w:szCs w:val="22"/>
        </w:rPr>
        <w:t xml:space="preserve">6.1 Absence of Causal Empirical Validation (Acknowledged — Research Agenda)</w:t>
      </w:r>
    </w:p>
    <w:p>
      <w:pPr>
        <w:spacing w:before="80" w:after="80"/>
        <w:jc w:val="left"/>
      </w:pPr>
      <w:r>
        <w:rPr>
          <w:rFonts w:ascii="Arial" w:cs="Arial" w:eastAsia="Arial" w:hAnsi="Arial"/>
          <w:b w:val="false"/>
          <w:bCs w:val="false"/>
          <w:sz w:val="20"/>
          <w:szCs w:val="20"/>
        </w:rPr>
        <w:t xml:space="preserve">The AAF has not been backtested on historical PE data. The simulation in Section 3.4 grounds the MoS Uplift range in the observed PE return distribution (Guo et al. 2011), but it does not establish that funds that applied floor-anchored entry discipline in practice produced the simulated return improvements. Correlation between operational focus and IRR uplift (Acharya et al. 2013) does not establish causal process effect.</w:t>
      </w:r>
    </w:p>
    <w:p>
      <w:pPr>
        <w:spacing w:before="80" w:after="80"/>
        <w:jc w:val="left"/>
      </w:pPr>
      <w:r>
        <w:rPr>
          <w:rFonts w:ascii="Arial" w:cs="Arial" w:eastAsia="Arial" w:hAnsi="Arial"/>
          <w:b w:val="false"/>
          <w:bCs w:val="false"/>
          <w:sz w:val="20"/>
          <w:szCs w:val="20"/>
        </w:rPr>
        <w:t xml:space="preserve">Proposed validation design: Using Preqin, PitchBook, or a commercial deal database for vintages 2000–2022, researchers could identify the subset of completed buyout transactions where the entry multiple was at or below the lowest comparable sector transaction multiple in the prior three years — a reasonable proxy for floor-anchored entry discipline — and compare realised MOIC distributions with the full-sample distribution, controlling for sector, vintage, leverage, and hold period. Propensity score matching could construct a counterfactual.</w:t>
      </w:r>
    </w:p>
    <w:p>
      <w:pPr>
        <w:pStyle w:val="Heading2"/>
        <w:spacing w:before="160" w:after="80"/>
        <w:jc w:val="left"/>
      </w:pPr>
      <w:r>
        <w:rPr>
          <w:rFonts w:ascii="Arial" w:cs="Arial" w:eastAsia="Arial" w:hAnsi="Arial"/>
          <w:b/>
          <w:bCs/>
          <w:sz w:val="22"/>
          <w:szCs w:val="22"/>
        </w:rPr>
        <w:t xml:space="preserve">6.2 Survivorship Bias in Source Data (Partially Addressed)</w:t>
      </w:r>
    </w:p>
    <w:p>
      <w:pPr>
        <w:spacing w:before="80" w:after="80"/>
        <w:jc w:val="left"/>
      </w:pPr>
      <w:r>
        <w:rPr>
          <w:rFonts w:ascii="Arial" w:cs="Arial" w:eastAsia="Arial" w:hAnsi="Arial"/>
          <w:b w:val="false"/>
          <w:bCs w:val="false"/>
          <w:sz w:val="20"/>
          <w:szCs w:val="20"/>
        </w:rPr>
        <w:t xml:space="preserve">The academic samples used for calibration — Guo et al. (2011), Demiroglu &amp; James (2010), Arcot et al. (2015) — are subject to data availability bias, with smaller and failed PE funds systematically under-represented in Preqin and PitchBook databases, as documented by Harris, Jenkinson &amp; Kaplan (2014). The simulation's 22% P(MOIC &lt; 1.0) at market entry is calibrated to Guo et al.'s sample, which likely overstates the mean MOIC and understates the failure rate for the full population of PE deals. Conservative AAF users should treat the catastrophic scenario probability as a lower bound and apply an upward adjustment of 3–5 percentage points for survivorship correction.</w:t>
      </w:r>
    </w:p>
    <w:p>
      <w:pPr>
        <w:spacing w:before="80" w:after="80"/>
        <w:jc w:val="left"/>
      </w:pPr>
      <w:r>
        <w:rPr>
          <w:rFonts w:ascii="Arial" w:cs="Arial" w:eastAsia="Arial" w:hAnsi="Arial"/>
          <w:b w:val="false"/>
          <w:bCs w:val="false"/>
          <w:sz w:val="20"/>
          <w:szCs w:val="20"/>
        </w:rPr>
        <w:t xml:space="preserve">Practitioner-sourced data: Several parameters in this paper draw on practitioner reports (IVCA, Simon-Kucher, Bain) where peer-reviewed academic equivalents do not exist. These are explicitly labelled as TIER-3 throughout the paper. These sources are subject to additional selection bias: they are produced by organisations with commercial incentives and typically reflect the experiences of larger, more successful firms. Users of this framework should treat TIER-3 parameters as upper bounds on success rates and lower bounds on failure rates, and apply conservative adjustments accordingly.</w:t>
      </w:r>
    </w:p>
    <w:p>
      <w:pPr>
        <w:pStyle w:val="Heading2"/>
        <w:spacing w:before="160" w:after="80"/>
        <w:jc w:val="left"/>
      </w:pPr>
      <w:r>
        <w:rPr>
          <w:rFonts w:ascii="Arial" w:cs="Arial" w:eastAsia="Arial" w:hAnsi="Arial"/>
          <w:b/>
          <w:bCs/>
          <w:sz w:val="22"/>
          <w:szCs w:val="22"/>
        </w:rPr>
        <w:t xml:space="preserve">6.3 Lever Covariance — Heuristic, Not Empirical</w:t>
      </w:r>
    </w:p>
    <w:p>
      <w:pPr>
        <w:spacing w:before="80" w:after="80"/>
        <w:jc w:val="left"/>
      </w:pPr>
      <w:r>
        <w:rPr>
          <w:rFonts w:ascii="Arial" w:cs="Arial" w:eastAsia="Arial" w:hAnsi="Arial"/>
          <w:b w:val="false"/>
          <w:bCs w:val="false"/>
          <w:sz w:val="20"/>
          <w:szCs w:val="20"/>
        </w:rPr>
        <w:t xml:space="preserve">The covariance haircut of 15–25% is grounded in Bloom et al. (2016) directionally but is not empirically calibrated from a dataset of completed PE value creation plans. The specific percentages are TIER-3 heuristics. A more rigorous treatment would require deal-level data on which combinations of levers were pursued simultaneously and what the realised joint success rates were — data not publicly available in the required granularity.</w:t>
      </w:r>
    </w:p>
    <w:p>
      <w:pPr>
        <w:pStyle w:val="Heading2"/>
        <w:spacing w:before="160" w:after="80"/>
        <w:jc w:val="left"/>
      </w:pPr>
      <w:r>
        <w:rPr>
          <w:rFonts w:ascii="Arial" w:cs="Arial" w:eastAsia="Arial" w:hAnsi="Arial"/>
          <w:b/>
          <w:bCs/>
          <w:sz w:val="22"/>
          <w:szCs w:val="22"/>
        </w:rPr>
        <w:t xml:space="preserve">6.4 Lender Behaviour Under Covenant Breach</w:t>
      </w:r>
    </w:p>
    <w:p>
      <w:pPr>
        <w:spacing w:before="80" w:after="80"/>
        <w:jc w:val="left"/>
      </w:pPr>
      <w:r>
        <w:rPr>
          <w:rFonts w:ascii="Arial" w:cs="Arial" w:eastAsia="Arial" w:hAnsi="Arial"/>
          <w:b w:val="false"/>
          <w:bCs w:val="false"/>
          <w:sz w:val="20"/>
          <w:szCs w:val="20"/>
        </w:rPr>
        <w:t xml:space="preserve">The AAF models covenant mechanics based on contractual terms. The waiver rate range (55–65%) is grounded in Gilson et al. (1990) and Davydenko &amp; Franks (2008) for Western markets. For Indian markets, the RBI Prudential Framework (2019) governs lender behaviour but the empirical distribution of waiver vs. enforcement outcomes in Indian leveraged transactions has not been studied academically. The Indian covenant cascade section uses the RBI regulatory framework as a structural basis but acknowledges that the empirical waiver rate in Indian PE-backed transactions is unknown. [TIER-3 for Indian lender behaviour.]</w:t>
      </w:r>
    </w:p>
    <w:p>
      <w:pPr>
        <w:pStyle w:val="Heading2"/>
        <w:spacing w:before="160" w:after="80"/>
        <w:jc w:val="left"/>
      </w:pPr>
      <w:r>
        <w:rPr>
          <w:rFonts w:ascii="Arial" w:cs="Arial" w:eastAsia="Arial" w:hAnsi="Arial"/>
          <w:b/>
          <w:bCs/>
          <w:sz w:val="22"/>
          <w:szCs w:val="22"/>
        </w:rPr>
        <w:t xml:space="preserve">6.5 Portfolio-Level Implications</w:t>
      </w:r>
    </w:p>
    <w:p>
      <w:pPr>
        <w:spacing w:before="80" w:after="80"/>
        <w:jc w:val="left"/>
      </w:pPr>
      <w:r>
        <w:rPr>
          <w:rFonts w:ascii="Arial" w:cs="Arial" w:eastAsia="Arial" w:hAnsi="Arial"/>
          <w:b w:val="false"/>
          <w:bCs w:val="false"/>
          <w:sz w:val="20"/>
          <w:szCs w:val="20"/>
        </w:rPr>
        <w:t xml:space="preserve">The AAF is a single-deal framework. A GP optimising portfolio-level risk could find that rigorous AAF application produces systematic under-deployment in competitive auction environments. Scenario B (Section 4.2) quantifies this: the market-price deal produces only 1.48x base-case MOIC, but a fund that declines every such deal faces deployment drag. The simulation design proposed in Section 6.1 should include a portfolio-level variant: a Monte Carlo simulation of deal opportunity arrival, applying AAF discipline to each opportunity, recording acceptance rates and deployed capital curves, and computing fund-level returns under AAF-compliance versus unconstrained entry policy.</w:t>
      </w:r>
    </w:p>
    <w:p>
      <w:pPr>
        <w:pStyle w:val="Heading2"/>
        <w:spacing w:before="160" w:after="80"/>
        <w:jc w:val="left"/>
      </w:pPr>
      <w:r>
        <w:rPr>
          <w:rFonts w:ascii="Arial" w:cs="Arial" w:eastAsia="Arial" w:hAnsi="Arial"/>
          <w:b/>
          <w:bCs/>
          <w:sz w:val="22"/>
          <w:szCs w:val="22"/>
        </w:rPr>
        <w:t xml:space="preserve">6.6 Governance Anti-Gaming</w:t>
      </w:r>
    </w:p>
    <w:p>
      <w:pPr>
        <w:spacing w:before="80" w:after="80"/>
        <w:jc w:val="left"/>
      </w:pPr>
      <w:r>
        <w:rPr>
          <w:rFonts w:ascii="Arial" w:cs="Arial" w:eastAsia="Arial" w:hAnsi="Arial"/>
          <w:b w:val="false"/>
          <w:bCs w:val="false"/>
          <w:sz w:val="20"/>
          <w:szCs w:val="20"/>
        </w:rPr>
        <w:t xml:space="preserve">Version 4 adds the random 20% audit protocol (Section 3.3) as a deterrent to pre-timestamp manipulation. This is an improvement over prior versions but remains insufficient as a complete solution. A deal team under sufficient pressure can still manipulate the process before the formal origination timestamp opens. The only complete solution is permanent institutional separation of valuation from origination — a separate team computes the floor estimate without input from the deal origination team. This goes beyond the AAF's current prescriptions and represents an institutional implementation question for firms that adopt the framework. The paper makes no claim that the anti-gaming measures are sufficient; it claims only that they are better than nothing and structurally meaningful as deterrents.</w:t>
      </w:r>
    </w:p>
    <w:p>
      <w:pPr>
        <w:pStyle w:val="Heading2"/>
        <w:spacing w:before="160" w:after="80"/>
        <w:jc w:val="left"/>
      </w:pPr>
      <w:r>
        <w:rPr>
          <w:rFonts w:ascii="Arial" w:cs="Arial" w:eastAsia="Arial" w:hAnsi="Arial"/>
          <w:b/>
          <w:bCs/>
          <w:sz w:val="22"/>
          <w:szCs w:val="22"/>
        </w:rPr>
        <w:t xml:space="preserve">6.7 Indian Context Limitations</w:t>
      </w:r>
    </w:p>
    <w:p>
      <w:pPr>
        <w:spacing w:before="80" w:after="80"/>
        <w:jc w:val="left"/>
      </w:pPr>
      <w:r>
        <w:rPr>
          <w:rFonts w:ascii="Arial" w:cs="Arial" w:eastAsia="Arial" w:hAnsi="Arial"/>
          <w:b w:val="false"/>
          <w:bCs w:val="false"/>
          <w:sz w:val="20"/>
          <w:szCs w:val="20"/>
        </w:rPr>
        <w:t xml:space="preserve">The Indian application in Section 5.4 faces three specific limitations beyond those already discussed:</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No peer-reviewed Indian deal-level return data: The foundational academic literature underpinning the simulation — Guo et al. (2011), Harris et al. (2014), Kaplan &amp; Strömberg (2009) — is entirely based on US and European PE. There is no Indian equivalent peer-reviewed dataset. The Indian parameters in Section 5.4 are calibrated from IVCA trade body data and practitioner reports (TIER-3), which are subject to the same selection and survivorship biases as other practitioner sources in this paper. An Indian PE return database constructed with academic rigour — covering minority and control deals, including failed and unreported transactions — is the most important missing piece of infrastructure for Indian PE research.</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Currency risk not fully modelled: USD-denominated funds investing in INR-generating businesses face FX risk that is not incorporated into the AAF's MOIC calculations. A 5% annual INR depreciation over a 5-year hold reduces USD MOIC by approximately 22% before compounding. This should be modelled explicitly in the exit scenario for international LP reporting, but is excluded here for comparability with the base framework.</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SEBI AIF regulatory evolution: SEBI has amended the AIF Regulations multiple times since 2012, and further changes are expected. The regulatory references in this paper reflect the framework as of March 2026 and may become outdated. Users should verify current SEBI and RBI guidelines before applying the Indian-context framework.</w:t>
      </w:r>
    </w:p>
    <w:p>
      <w:pPr>
        <w:pStyle w:val="Heading2"/>
        <w:spacing w:before="160" w:after="80"/>
        <w:jc w:val="left"/>
      </w:pPr>
      <w:r>
        <w:rPr>
          <w:rFonts w:ascii="Arial" w:cs="Arial" w:eastAsia="Arial" w:hAnsi="Arial"/>
          <w:b/>
          <w:bCs/>
          <w:sz w:val="22"/>
          <w:szCs w:val="22"/>
        </w:rPr>
        <w:t xml:space="preserve">6.8 Opportunity Cost of Process Discipline</w:t>
      </w:r>
    </w:p>
    <w:p>
      <w:pPr>
        <w:spacing w:before="80" w:after="80"/>
        <w:jc w:val="left"/>
      </w:pPr>
      <w:r>
        <w:rPr>
          <w:rFonts w:ascii="Arial" w:cs="Arial" w:eastAsia="Arial" w:hAnsi="Arial"/>
          <w:b w:val="false"/>
          <w:bCs w:val="false"/>
          <w:sz w:val="20"/>
          <w:szCs w:val="20"/>
        </w:rPr>
        <w:t xml:space="preserve">Section 4.2 quantifies the opportunity cost: at 8.0x market price, the base case produces only 1.48x MOIC, barely clearing the LP's hurdle rate. The AAF rejects this deal not because it has no upside, but because the stress scenario produces 0.59x MOIC. A GP with proprietary operating knowledge that genuinely reduces execution risk below the sector base rate may rationally use a higher MoS Uplift. The AAF's parameters are calibrated for a generalist investor without informational edge. This is a position, not a proof.</w:t>
      </w:r>
    </w:p>
    <w:p>
      <w:pPr>
        <w:pStyle w:val="Heading1"/>
        <w:spacing w:before="200" w:after="120"/>
        <w:jc w:val="left"/>
      </w:pPr>
      <w:r>
        <w:rPr>
          <w:rFonts w:ascii="Arial" w:cs="Arial" w:eastAsia="Arial" w:hAnsi="Arial"/>
          <w:b/>
          <w:bCs/>
          <w:sz w:val="28"/>
          <w:szCs w:val="28"/>
        </w:rPr>
        <w:t xml:space="preserve">7. Conclusion</w:t>
      </w:r>
    </w:p>
    <w:p>
      <w:pPr>
        <w:spacing w:before="80" w:after="80"/>
        <w:jc w:val="left"/>
      </w:pPr>
      <w:r>
        <w:rPr>
          <w:rFonts w:ascii="Arial" w:cs="Arial" w:eastAsia="Arial" w:hAnsi="Arial"/>
          <w:b w:val="false"/>
          <w:bCs w:val="false"/>
          <w:sz w:val="20"/>
          <w:szCs w:val="20"/>
        </w:rPr>
        <w:t xml:space="preserve">The private equity industry's transition from financial engineering to operational value creation is structural, well-documented, and likely permanent at the return levels of the last decade. The question is not whether to adapt, but how to adapt with rigour that survives institutional pressure.</w:t>
      </w:r>
    </w:p>
    <w:p>
      <w:pPr>
        <w:spacing w:before="80" w:after="80"/>
        <w:jc w:val="left"/>
      </w:pPr>
      <w:r>
        <w:rPr>
          <w:rFonts w:ascii="Arial" w:cs="Arial" w:eastAsia="Arial" w:hAnsi="Arial"/>
          <w:b w:val="false"/>
          <w:bCs w:val="false"/>
          <w:sz w:val="20"/>
          <w:szCs w:val="20"/>
        </w:rPr>
        <w:t xml:space="preserve">The Anchored Alpha Framework is this paper's argument for where that rigour should be concentrated: at the entry price and the pre-investment scenario architecture. It is a synthesis of Graham's margin of safety, Klarman's three-method floor (modified to use the minimum conservative credible estimate), Klein's pre-mortem (extended with a mandatory governance protocol and LP accountability layer), and a financing covenant cascade that models the debt stack's behaviour under stress.</w:t>
      </w:r>
    </w:p>
    <w:p>
      <w:pPr>
        <w:spacing w:before="80" w:after="80"/>
        <w:jc w:val="left"/>
      </w:pPr>
      <w:r>
        <w:rPr>
          <w:rFonts w:ascii="Arial" w:cs="Arial" w:eastAsia="Arial" w:hAnsi="Arial"/>
          <w:b w:val="false"/>
          <w:bCs w:val="false"/>
          <w:sz w:val="20"/>
          <w:szCs w:val="20"/>
        </w:rPr>
        <w:t xml:space="preserve">Version 4.0 advances the prior version in four concrete ways: the MoS Uplift range of 20–35% is now simulation-derived from a calibrated model grounded in peer-reviewed academic data; all parameters are classified by tier so readers know exactly what is proven, what is grounded, and what is guessed; consultant-sourced data is replaced with academic equivalents where available and explicitly labelled where not; and the framework is applied to the Indian PE context for the first time, with honest acknowledgement of the data gaps that make full Indianisation impossible at this stage.</w:t>
      </w:r>
    </w:p>
    <w:p>
      <w:pPr>
        <w:spacing w:before="80" w:after="80"/>
        <w:jc w:val="left"/>
      </w:pPr>
      <w:r>
        <w:rPr>
          <w:rFonts w:ascii="Arial" w:cs="Arial" w:eastAsia="Arial" w:hAnsi="Arial"/>
          <w:b w:val="false"/>
          <w:bCs w:val="false"/>
          <w:sz w:val="20"/>
          <w:szCs w:val="20"/>
        </w:rPr>
        <w:t xml:space="preserve">The Indian context section is not window-dressing. India is at a genuine inflection point in PE market development. The promoter buyout archetype, the SEBI/RBI regulatory framework, and the distinctive dynamics of Indian business succession are real and important. The contribution of Section 5.4 is to show how the core AAF logic adapts to these conditions while being transparent about where the academic evidence is thin.</w:t>
      </w:r>
    </w:p>
    <w:p>
      <w:pPr>
        <w:spacing w:before="80" w:after="80"/>
        <w:jc w:val="left"/>
      </w:pPr>
      <w:r>
        <w:rPr>
          <w:rFonts w:ascii="Arial" w:cs="Arial" w:eastAsia="Arial" w:hAnsi="Arial"/>
          <w:b w:val="false"/>
          <w:bCs w:val="false"/>
          <w:sz w:val="20"/>
          <w:szCs w:val="20"/>
        </w:rPr>
        <w:t xml:space="preserve">What remains unresolved — the backtest, the portfolio simulator, the lender behaviour model, the Indian return dataset — is unresolved because it requires data access and empirical methodology beyond the scope of this paper. The paper states that honestly. Its contribution is a rigorously specified framework whose claims are falsifiable and whose limitations are precisely delineated. That combination — theoretical rigour, simulation grounding, honest scoping, and a clear research agenda — is the standard to which this paper holds itself.</w:t>
      </w:r>
    </w:p>
    <w:p>
      <w:pPr>
        <w:spacing w:before="80" w:after="80"/>
        <w:jc w:val="left"/>
      </w:pPr>
      <w:r>
        <w:rPr>
          <w:rFonts w:ascii="Arial" w:cs="Arial" w:eastAsia="Arial" w:hAnsi="Arial"/>
          <w:b w:val="false"/>
          <w:bCs w:val="false"/>
          <w:sz w:val="20"/>
          <w:szCs w:val="20"/>
        </w:rPr>
        <w:t xml:space="preserve">The investment firms that generate consistent returns across market cycles are distinguished not by proprietary models but by institutional discipline: the willingness to hold a price, challenge their own assumptions, and decline deals that require heroic execution to work. The AAF is an attempt to systematise that discipline — not to replace judgment, but to protect it from the pressures that erode it.</w:t>
      </w:r>
    </w:p>
    <w:p>
      <w:r>
        <w:br w:type="page"/>
      </w:r>
    </w:p>
    <w:p>
      <w:pPr>
        <w:pStyle w:val="Heading1"/>
        <w:spacing w:before="200" w:after="120"/>
        <w:jc w:val="left"/>
      </w:pPr>
      <w:r>
        <w:rPr>
          <w:rFonts w:ascii="Arial" w:cs="Arial" w:eastAsia="Arial" w:hAnsi="Arial"/>
          <w:b/>
          <w:bCs/>
          <w:sz w:val="26"/>
          <w:szCs w:val="26"/>
        </w:rPr>
        <w:t xml:space="preserve">Appendix: Monte Carlo Simulation Methodology</w:t>
      </w:r>
    </w:p>
    <w:p>
      <w:pPr>
        <w:spacing w:before="80" w:after="80"/>
        <w:jc w:val="left"/>
      </w:pPr>
      <w:r>
        <w:rPr>
          <w:rFonts w:ascii="Arial" w:cs="Arial" w:eastAsia="Arial" w:hAnsi="Arial"/>
          <w:b/>
          <w:bCs/>
          <w:sz w:val="20"/>
          <w:szCs w:val="20"/>
        </w:rPr>
        <w:t xml:space="preserve">Calibration Basis</w:t>
      </w:r>
    </w:p>
    <w:p>
      <w:pPr>
        <w:spacing w:before="80" w:after="80"/>
        <w:jc w:val="left"/>
      </w:pPr>
      <w:r>
        <w:rPr>
          <w:rFonts w:ascii="Arial" w:cs="Arial" w:eastAsia="Arial" w:hAnsi="Arial"/>
          <w:b w:val="false"/>
          <w:bCs w:val="false"/>
          <w:sz w:val="20"/>
          <w:szCs w:val="20"/>
        </w:rPr>
        <w:t xml:space="preserve">The simulation is calibrated to peer-reviewed academic data, not practitioner reports. Two primary calibration anchors are used:</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Guo, Hotchkiss &amp; Song (2011): Median deal-level MOIC of 2.4x and P(MOIC &lt; 1.0) of approximately 22% at market-rate entry, derived from their sample of 192 LBO transactions. These figures represent the distribution of deal outcomes at prevailing market prices — the 'market-rate entry' calibration anchor for the simulation.</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Demiroglu &amp; James (2010): Covenant violation rate of approximately 15–20% in LBO transactions, used to set the P(MOIC &lt; 1.0) calibration target.</w:t>
      </w:r>
    </w:p>
    <w:p>
      <w:pPr>
        <w:spacing w:before="80" w:after="80"/>
        <w:jc w:val="left"/>
      </w:pPr>
      <w:r>
        <w:rPr>
          <w:rFonts w:ascii="Arial" w:cs="Arial" w:eastAsia="Arial" w:hAnsi="Arial"/>
          <w:b/>
          <w:bCs/>
          <w:sz w:val="20"/>
          <w:szCs w:val="20"/>
        </w:rPr>
        <w:t xml:space="preserve">Model Structure</w:t>
      </w:r>
    </w:p>
    <w:p>
      <w:pPr>
        <w:spacing w:before="80" w:after="80"/>
        <w:jc w:val="left"/>
      </w:pPr>
      <w:r>
        <w:rPr>
          <w:rFonts w:ascii="Arial" w:cs="Arial" w:eastAsia="Arial" w:hAnsi="Arial"/>
          <w:b w:val="false"/>
          <w:bCs w:val="false"/>
          <w:sz w:val="20"/>
          <w:szCs w:val="20"/>
        </w:rPr>
        <w:t xml:space="preserve">Floor EV is normalised to 100. Debt is fixed at 55 (representing 5.5× EBITDA leverage at a floor EBITDA of 10, consistent with Kaplan &amp; Strömberg (2009) median leverage). Entry equity = Entry EV – 55. Exit EV is drawn from a LogNormal distribution with parameters μ = 1.040 and σ = 0.822, calibrated to produce median MOIC = 2.40x and P(MOIC &lt; 1.0) = 22.1% at 1.5× floor market-rate entry. 100,000 simulations were run at each entry multiple from 1.0× to 2.0× floor.</w:t>
      </w:r>
    </w:p>
    <w:p>
      <w:pPr>
        <w:spacing w:before="80" w:after="80"/>
        <w:jc w:val="left"/>
      </w:pPr>
      <w:r>
        <w:rPr>
          <w:rFonts w:ascii="Arial" w:cs="Arial" w:eastAsia="Arial" w:hAnsi="Arial"/>
          <w:b w:val="false"/>
          <w:bCs w:val="false"/>
          <w:sz w:val="20"/>
          <w:szCs w:val="20"/>
        </w:rPr>
        <w:t xml:space="preserve">The monitoring trigger simulation models quarterly EBITDA trajectories using a stochastic process with drift and volatility parameters calibrated to PE operational performance literature. Stressed deals use negative drift; catastrophic deals use more severely negative drift. The 200 bps trigger threshold was selected as the point that maximises detection rate by Q8 without producing excessive false positives.</w:t>
      </w:r>
    </w:p>
    <w:p>
      <w:pPr>
        <w:spacing w:before="80" w:after="80"/>
        <w:jc w:val="left"/>
      </w:pPr>
      <w:r>
        <w:rPr>
          <w:rFonts w:ascii="Arial" w:cs="Arial" w:eastAsia="Arial" w:hAnsi="Arial"/>
          <w:b/>
          <w:bCs/>
          <w:sz w:val="20"/>
          <w:szCs w:val="20"/>
        </w:rPr>
        <w:t xml:space="preserve">Key Limitations of the Simulation</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Western data only: No equivalent Indian deal-level academic dataset exists. The simulation is calibrated to US PE transactions from Guo et al.'s sample, which may not reflect Indian PE return distributions.</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LogNormal distribution assumption: Actual PE returns are more fat-tailed (leptokurtic) than LogNormal. The simulation likely understates the frequency of both very high and very low MOIC outcomes.</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Fixed debt assumption: In practice, debt covenants interact with equity value. The fixed-debt assumption simplifies this interaction and may understate catastrophic scenario severity.</w:t>
      </w:r>
    </w:p>
    <w:p>
      <w:pPr>
        <w:spacing w:before="60" w:after="60"/>
        <w:ind w:left="720" w:hanging="360"/>
      </w:pPr>
      <w:r>
        <w:rPr>
          <w:rFonts w:ascii="Arial" w:cs="Arial" w:eastAsia="Arial" w:hAnsi="Arial"/>
          <w:sz w:val="20"/>
          <w:szCs w:val="20"/>
        </w:rPr>
        <w:t xml:space="preserve">•  </w:t>
      </w:r>
      <w:r>
        <w:rPr>
          <w:rFonts w:ascii="Arial" w:cs="Arial" w:eastAsia="Arial" w:hAnsi="Arial"/>
          <w:b w:val="false"/>
          <w:bCs w:val="false"/>
          <w:sz w:val="20"/>
          <w:szCs w:val="20"/>
        </w:rPr>
        <w:t xml:space="preserve">Independence assumption: Each simulation draw is independent. In practice, PE deal outcomes are correlated through the macroeconomic cycle.</w:t>
      </w:r>
    </w:p>
    <w:p>
      <w:r>
        <w:br w:type="page"/>
      </w:r>
    </w:p>
    <w:p>
      <w:pPr>
        <w:pStyle w:val="Heading1"/>
        <w:spacing w:before="200" w:after="120"/>
        <w:jc w:val="left"/>
      </w:pPr>
      <w:r>
        <w:rPr>
          <w:rFonts w:ascii="Arial" w:cs="Arial" w:eastAsia="Arial" w:hAnsi="Arial"/>
          <w:b/>
          <w:bCs/>
          <w:sz w:val="28"/>
          <w:szCs w:val="28"/>
        </w:rPr>
        <w:t xml:space="preserve">References</w:t>
      </w:r>
    </w:p>
    <w:p>
      <w:pPr>
        <w:spacing w:before="80" w:after="80"/>
        <w:jc w:val="left"/>
      </w:pPr>
      <w:r>
        <w:rPr>
          <w:rFonts w:ascii="Arial" w:cs="Arial" w:eastAsia="Arial" w:hAnsi="Arial"/>
          <w:b w:val="false"/>
          <w:bCs w:val="false"/>
          <w:sz w:val="20"/>
          <w:szCs w:val="20"/>
        </w:rPr>
        <w:t xml:space="preserve">All references are classified by source type. Academic peer-reviewed sources are designated [Academic]. Regulatory and government sources are designated [Regulatory]. Practitioner/trade body sources are designated [Practitioner — data may reflect selection bias and undisclosed methodology]. Books are designated [Book].</w:t>
      </w:r>
    </w:p>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bCs/>
          <w:sz w:val="20"/>
          <w:szCs w:val="20"/>
        </w:rPr>
        <w:t xml:space="preserve">Peer-Reviewed Academic Sources</w:t>
      </w:r>
    </w:p>
    <w:p>
      <w:pPr>
        <w:spacing w:before="80" w:after="80"/>
        <w:jc w:val="left"/>
      </w:pPr>
      <w:r>
        <w:rPr>
          <w:rFonts w:ascii="Arial" w:cs="Arial" w:eastAsia="Arial" w:hAnsi="Arial"/>
          <w:b w:val="false"/>
          <w:bCs w:val="false"/>
          <w:sz w:val="20"/>
          <w:szCs w:val="20"/>
        </w:rPr>
        <w:t xml:space="preserve">Achleitner, A. K., Braun, R., Engel, N., Figge, C., &amp; Tappeiner, F. (2010). Value creation drivers in private equity buyouts: Empirical evidence from Europe. Journal of Private Equity, 13(2), 17–27. [Academic] DOI: 10.3905/jpe.2010.13.2.017</w:t>
      </w:r>
    </w:p>
    <w:p>
      <w:pPr>
        <w:spacing w:before="80" w:after="80"/>
        <w:jc w:val="left"/>
      </w:pPr>
      <w:r>
        <w:rPr>
          <w:rFonts w:ascii="Arial" w:cs="Arial" w:eastAsia="Arial" w:hAnsi="Arial"/>
          <w:b w:val="false"/>
          <w:bCs w:val="false"/>
          <w:sz w:val="20"/>
          <w:szCs w:val="20"/>
        </w:rPr>
        <w:t xml:space="preserve">Acharya, V. V., Gottschalg, O. F., Hahn, M., &amp; Kehoe, C. (2013). Corporate governance and value creation: Evidence from private equity. Review of Financial Studies, 26(2), 368–402. [Academic] DOI: 10.1093/rfs/hhs117</w:t>
      </w:r>
    </w:p>
    <w:p>
      <w:pPr>
        <w:spacing w:before="80" w:after="80"/>
        <w:jc w:val="left"/>
      </w:pPr>
      <w:r>
        <w:rPr>
          <w:rFonts w:ascii="Arial" w:cs="Arial" w:eastAsia="Arial" w:hAnsi="Arial"/>
          <w:b w:val="false"/>
          <w:bCs w:val="false"/>
          <w:sz w:val="20"/>
          <w:szCs w:val="20"/>
        </w:rPr>
        <w:t xml:space="preserve">Arcot, S., Fluck, Z., Gaspar, J.-M., &amp; Hege, U. (2015). Fund manager contracts, risk and capital allocation. CEPR Discussion Paper No. 9736. [Academic working paper] Available: https://cepr.org/publications/dp9736</w:t>
      </w:r>
    </w:p>
    <w:p>
      <w:pPr>
        <w:spacing w:before="80" w:after="80"/>
        <w:jc w:val="left"/>
      </w:pPr>
      <w:r>
        <w:rPr>
          <w:rFonts w:ascii="Arial" w:cs="Arial" w:eastAsia="Arial" w:hAnsi="Arial"/>
          <w:b w:val="false"/>
          <w:bCs w:val="false"/>
          <w:sz w:val="20"/>
          <w:szCs w:val="20"/>
        </w:rPr>
        <w:t xml:space="preserve">Axelson, U., Jenkinson, T., Strömberg, P., &amp; Weisbach, M. S. (2013). Borrow cheap, buy high? The determinants of leverage and pricing in buyouts. Journal of Finance, 68(6), 2223–2267. [Academic] DOI: 10.1111/jofi.12082</w:t>
      </w:r>
    </w:p>
    <w:p>
      <w:pPr>
        <w:spacing w:before="80" w:after="80"/>
        <w:jc w:val="left"/>
      </w:pPr>
      <w:r>
        <w:rPr>
          <w:rFonts w:ascii="Arial" w:cs="Arial" w:eastAsia="Arial" w:hAnsi="Arial"/>
          <w:b w:val="false"/>
          <w:bCs w:val="false"/>
          <w:sz w:val="20"/>
          <w:szCs w:val="20"/>
        </w:rPr>
        <w:t xml:space="preserve">Bloom, N., Sadun, R., &amp; Van Reenen, J. (2016). Management as a technology? NBER Working Paper No. 22327. National Bureau of Economic Research. [Academic] DOI: 10.3386/w22327</w:t>
      </w:r>
    </w:p>
    <w:p>
      <w:pPr>
        <w:spacing w:before="80" w:after="80"/>
        <w:jc w:val="left"/>
      </w:pPr>
      <w:r>
        <w:rPr>
          <w:rFonts w:ascii="Arial" w:cs="Arial" w:eastAsia="Arial" w:hAnsi="Arial"/>
          <w:b w:val="false"/>
          <w:bCs w:val="false"/>
          <w:sz w:val="20"/>
          <w:szCs w:val="20"/>
        </w:rPr>
        <w:t xml:space="preserve">Brigl, M., Pohl, H., Sievert, S., Söderström, G., &amp; Wunderlich, F. (2016). How the best private equity firms bounce back. BCG Henderson Institute. [Practitioner — data may reflect selection bias; methodology not peer-reviewed]</w:t>
      </w:r>
    </w:p>
    <w:p>
      <w:pPr>
        <w:spacing w:before="80" w:after="80"/>
        <w:jc w:val="left"/>
      </w:pPr>
      <w:r>
        <w:rPr>
          <w:rFonts w:ascii="Arial" w:cs="Arial" w:eastAsia="Arial" w:hAnsi="Arial"/>
          <w:b w:val="false"/>
          <w:bCs w:val="false"/>
          <w:sz w:val="20"/>
          <w:szCs w:val="20"/>
        </w:rPr>
        <w:t xml:space="preserve">Cambridge Associates. (2024). US PE/VC benchmark commentary: Calendar year 2024. Cambridge Associates LLC. [Practitioner — industry benchmark data; methodology documented but not peer-reviewed]</w:t>
      </w:r>
    </w:p>
    <w:p>
      <w:pPr>
        <w:spacing w:before="80" w:after="80"/>
        <w:jc w:val="left"/>
      </w:pPr>
      <w:r>
        <w:rPr>
          <w:rFonts w:ascii="Arial" w:cs="Arial" w:eastAsia="Arial" w:hAnsi="Arial"/>
          <w:b w:val="false"/>
          <w:bCs w:val="false"/>
          <w:sz w:val="20"/>
          <w:szCs w:val="20"/>
        </w:rPr>
        <w:t xml:space="preserve">Damodaran, A. (2006). Damodaran on valuation: Security analysis for investment and corporate finance (2nd ed.). Wiley. [Book] ISBN: 978-0-471-75121-2</w:t>
      </w:r>
    </w:p>
    <w:p>
      <w:pPr>
        <w:spacing w:before="80" w:after="80"/>
        <w:jc w:val="left"/>
      </w:pPr>
      <w:r>
        <w:rPr>
          <w:rFonts w:ascii="Arial" w:cs="Arial" w:eastAsia="Arial" w:hAnsi="Arial"/>
          <w:b w:val="false"/>
          <w:bCs w:val="false"/>
          <w:sz w:val="20"/>
          <w:szCs w:val="20"/>
        </w:rPr>
        <w:t xml:space="preserve">Davydenko, S. A., &amp; Franks, J. R. (2008). Do bankruptcy codes matter? A study of defaults in France, Germany, and the UK. Journal of Finance, 63(2), 565–608. [Academic] DOI: 10.1111/j.1540-6261.2008.01325.x</w:t>
      </w:r>
    </w:p>
    <w:p>
      <w:pPr>
        <w:spacing w:before="80" w:after="80"/>
        <w:jc w:val="left"/>
      </w:pPr>
      <w:r>
        <w:rPr>
          <w:rFonts w:ascii="Arial" w:cs="Arial" w:eastAsia="Arial" w:hAnsi="Arial"/>
          <w:b w:val="false"/>
          <w:bCs w:val="false"/>
          <w:sz w:val="20"/>
          <w:szCs w:val="20"/>
        </w:rPr>
        <w:t xml:space="preserve">Demiroglu, C., &amp; James, C. M. (2010). The role of private equity group reputation in LBO financing. Journal of Financial Economics, 96(2), 306–330. [Academic] DOI: 10.1016/j.jfineco.2010.02.001</w:t>
      </w:r>
    </w:p>
    <w:p>
      <w:pPr>
        <w:spacing w:before="80" w:after="80"/>
        <w:jc w:val="left"/>
      </w:pPr>
      <w:r>
        <w:rPr>
          <w:rFonts w:ascii="Arial" w:cs="Arial" w:eastAsia="Arial" w:hAnsi="Arial"/>
          <w:b w:val="false"/>
          <w:bCs w:val="false"/>
          <w:sz w:val="20"/>
          <w:szCs w:val="20"/>
        </w:rPr>
        <w:t xml:space="preserve">Franzoni, F., Nowak, E., &amp; Phalippou, L. (2012). Private equity performance and liquidity risk. Journal of Finance, 67(6), 2341–2373. [Academic] DOI: 10.1111/j.1540-6261.2012.01788.x</w:t>
      </w:r>
    </w:p>
    <w:p>
      <w:pPr>
        <w:spacing w:before="80" w:after="80"/>
        <w:jc w:val="left"/>
      </w:pPr>
      <w:r>
        <w:rPr>
          <w:rFonts w:ascii="Arial" w:cs="Arial" w:eastAsia="Arial" w:hAnsi="Arial"/>
          <w:b w:val="false"/>
          <w:bCs w:val="false"/>
          <w:sz w:val="20"/>
          <w:szCs w:val="20"/>
        </w:rPr>
        <w:t xml:space="preserve">Gilson, S. C., John, K., &amp; Lang, L. H. P. (1990). Troubled debt restructurings: An empirical study of private reorganization of firms in default. Journal of Financial Economics, 27(2), 315–353. [Academic] DOI: 10.1016/0304-405X(90)90059-9</w:t>
      </w:r>
    </w:p>
    <w:p>
      <w:pPr>
        <w:spacing w:before="80" w:after="80"/>
        <w:jc w:val="left"/>
      </w:pPr>
      <w:r>
        <w:rPr>
          <w:rFonts w:ascii="Arial" w:cs="Arial" w:eastAsia="Arial" w:hAnsi="Arial"/>
          <w:b w:val="false"/>
          <w:bCs w:val="false"/>
          <w:sz w:val="20"/>
          <w:szCs w:val="20"/>
        </w:rPr>
        <w:t xml:space="preserve">Gompers, P., Kaplan, S. N., &amp; Mukharlyamov, V. (2016). What do private equity firms say they do? Journal of Financial Economics, 121(3), 449–476. [Academic] DOI: 10.1016/j.jfineco.2016.06.003</w:t>
      </w:r>
    </w:p>
    <w:p>
      <w:pPr>
        <w:spacing w:before="80" w:after="80"/>
        <w:jc w:val="left"/>
      </w:pPr>
      <w:r>
        <w:rPr>
          <w:rFonts w:ascii="Arial" w:cs="Arial" w:eastAsia="Arial" w:hAnsi="Arial"/>
          <w:b w:val="false"/>
          <w:bCs w:val="false"/>
          <w:sz w:val="20"/>
          <w:szCs w:val="20"/>
        </w:rPr>
        <w:t xml:space="preserve">Graham, B. (1949). The intelligent investor. Harper &amp; Brothers. [Book]</w:t>
      </w:r>
    </w:p>
    <w:p>
      <w:pPr>
        <w:spacing w:before="80" w:after="80"/>
        <w:jc w:val="left"/>
      </w:pPr>
      <w:r>
        <w:rPr>
          <w:rFonts w:ascii="Arial" w:cs="Arial" w:eastAsia="Arial" w:hAnsi="Arial"/>
          <w:b w:val="false"/>
          <w:bCs w:val="false"/>
          <w:sz w:val="20"/>
          <w:szCs w:val="20"/>
        </w:rPr>
        <w:t xml:space="preserve">Guo, S., Hotchkiss, E. S., &amp; Song, W. (2011). Do buyouts (still) create value? Journal of Finance, 66(2), 479–517. [Academic] DOI: 10.1111/j.1540-6261.2010.01643.x</w:t>
      </w:r>
    </w:p>
    <w:p>
      <w:pPr>
        <w:spacing w:before="80" w:after="80"/>
        <w:jc w:val="left"/>
      </w:pPr>
      <w:r>
        <w:rPr>
          <w:rFonts w:ascii="Arial" w:cs="Arial" w:eastAsia="Arial" w:hAnsi="Arial"/>
          <w:b w:val="false"/>
          <w:bCs w:val="false"/>
          <w:sz w:val="20"/>
          <w:szCs w:val="20"/>
        </w:rPr>
        <w:t xml:space="preserve">Harris, R. S., Jenkinson, T., &amp; Kaplan, S. N. (2014). Private equity performance: What do we know? Journal of Finance, 69(5), 1851–1882. [Academic] DOI: 10.1111/jofi.12154</w:t>
      </w:r>
    </w:p>
    <w:p>
      <w:pPr>
        <w:spacing w:before="80" w:after="80"/>
        <w:jc w:val="left"/>
      </w:pPr>
      <w:r>
        <w:rPr>
          <w:rFonts w:ascii="Arial" w:cs="Arial" w:eastAsia="Arial" w:hAnsi="Arial"/>
          <w:b w:val="false"/>
          <w:bCs w:val="false"/>
          <w:sz w:val="20"/>
          <w:szCs w:val="20"/>
        </w:rPr>
        <w:t xml:space="preserve">Kahneman, D. (2011). Thinking, fast and slow. Farrar, Straus and Giroux. [Book] ISBN: 978-0-374-27563-1</w:t>
      </w:r>
    </w:p>
    <w:p>
      <w:pPr>
        <w:spacing w:before="80" w:after="80"/>
        <w:jc w:val="left"/>
      </w:pPr>
      <w:r>
        <w:rPr>
          <w:rFonts w:ascii="Arial" w:cs="Arial" w:eastAsia="Arial" w:hAnsi="Arial"/>
          <w:b w:val="false"/>
          <w:bCs w:val="false"/>
          <w:sz w:val="20"/>
          <w:szCs w:val="20"/>
        </w:rPr>
        <w:t xml:space="preserve">Kahneman, D., &amp; Tversky, A. (1979). Prospect theory: An analysis of decision under risk. Econometrica, 47(2), 263–291. [Academic] DOI: 10.2307/1914185</w:t>
      </w:r>
    </w:p>
    <w:p>
      <w:pPr>
        <w:spacing w:before="80" w:after="80"/>
        <w:jc w:val="left"/>
      </w:pPr>
      <w:r>
        <w:rPr>
          <w:rFonts w:ascii="Arial" w:cs="Arial" w:eastAsia="Arial" w:hAnsi="Arial"/>
          <w:b w:val="false"/>
          <w:bCs w:val="false"/>
          <w:sz w:val="20"/>
          <w:szCs w:val="20"/>
        </w:rPr>
        <w:t xml:space="preserve">Kaplan, S. N., &amp; Schoar, A. (2005). Private equity performance: Returns, persistence, and capital flows. Journal of Finance, 60(4), 1791–1823. [Academic] DOI: 10.1111/j.1540-6261.2005.00780.x</w:t>
      </w:r>
    </w:p>
    <w:p>
      <w:pPr>
        <w:spacing w:before="80" w:after="80"/>
        <w:jc w:val="left"/>
      </w:pPr>
      <w:r>
        <w:rPr>
          <w:rFonts w:ascii="Arial" w:cs="Arial" w:eastAsia="Arial" w:hAnsi="Arial"/>
          <w:b w:val="false"/>
          <w:bCs w:val="false"/>
          <w:sz w:val="20"/>
          <w:szCs w:val="20"/>
        </w:rPr>
        <w:t xml:space="preserve">Kaplan, S. N., &amp; Strömberg, P. (2009). Leveraged buyouts and private equity. Journal of Economic Perspectives, 23(1), 121–146. [Academic] DOI: 10.1257/jep.23.1.121</w:t>
      </w:r>
    </w:p>
    <w:p>
      <w:pPr>
        <w:spacing w:before="80" w:after="80"/>
        <w:jc w:val="left"/>
      </w:pPr>
      <w:r>
        <w:rPr>
          <w:rFonts w:ascii="Arial" w:cs="Arial" w:eastAsia="Arial" w:hAnsi="Arial"/>
          <w:b w:val="false"/>
          <w:bCs w:val="false"/>
          <w:sz w:val="20"/>
          <w:szCs w:val="20"/>
        </w:rPr>
        <w:t xml:space="preserve">Klein, G. (1998). Sources of power: How people make decisions. MIT Press. [Book] ISBN: 978-0-262-11227-7</w:t>
      </w:r>
    </w:p>
    <w:p>
      <w:pPr>
        <w:spacing w:before="80" w:after="80"/>
        <w:jc w:val="left"/>
      </w:pPr>
      <w:r>
        <w:rPr>
          <w:rFonts w:ascii="Arial" w:cs="Arial" w:eastAsia="Arial" w:hAnsi="Arial"/>
          <w:b w:val="false"/>
          <w:bCs w:val="false"/>
          <w:sz w:val="20"/>
          <w:szCs w:val="20"/>
        </w:rPr>
        <w:t xml:space="preserve">Klarman, S. A. (1991). Margin of safety: Risk-averse value investing strategies for the thoughtful investor. HarperCollins. [Book] ISBN: 978-0-06-016617-4</w:t>
      </w:r>
    </w:p>
    <w:p>
      <w:pPr>
        <w:spacing w:before="80" w:after="80"/>
        <w:jc w:val="left"/>
      </w:pPr>
      <w:r>
        <w:rPr>
          <w:rFonts w:ascii="Arial" w:cs="Arial" w:eastAsia="Arial" w:hAnsi="Arial"/>
          <w:b w:val="false"/>
          <w:bCs w:val="false"/>
          <w:sz w:val="20"/>
          <w:szCs w:val="20"/>
        </w:rPr>
        <w:t xml:space="preserve">Lim, J., Sensoy, B. A., &amp; Weisbach, M. S. (2016). Indirect incentives of hedge fund managers. Journal of Finance, 71(2), 871–918. [Academic] DOI: 10.1111/jofi.12384</w:t>
      </w:r>
    </w:p>
    <w:p>
      <w:pPr>
        <w:spacing w:before="80" w:after="80"/>
        <w:jc w:val="left"/>
      </w:pPr>
      <w:r>
        <w:rPr>
          <w:rFonts w:ascii="Arial" w:cs="Arial" w:eastAsia="Arial" w:hAnsi="Arial"/>
          <w:b w:val="false"/>
          <w:bCs w:val="false"/>
          <w:sz w:val="20"/>
          <w:szCs w:val="20"/>
        </w:rPr>
        <w:t xml:space="preserve">Metrick, A., &amp; Yasuda, A. (2010). The economics of private equity funds. Review of Financial Studies, 23(6), 2303–2341. [Academic] DOI: 10.1093/rfs/hhq020</w:t>
      </w:r>
    </w:p>
    <w:p>
      <w:pPr>
        <w:spacing w:before="80" w:after="80"/>
        <w:jc w:val="left"/>
      </w:pPr>
      <w:r>
        <w:rPr>
          <w:rFonts w:ascii="Arial" w:cs="Arial" w:eastAsia="Arial" w:hAnsi="Arial"/>
          <w:b w:val="false"/>
          <w:bCs w:val="false"/>
          <w:sz w:val="20"/>
          <w:szCs w:val="20"/>
        </w:rPr>
        <w:t xml:space="preserve">Nikoskelainen, E., &amp; Wright, M. (2007). The impact of corporate governance mechanisms on value increase in leveraged buyouts. Journal of Corporate Finance, 13(4), 511–537. [Academic] DOI: 10.1016/j.jcorpfin.2007.04.002</w:t>
      </w:r>
    </w:p>
    <w:p>
      <w:pPr>
        <w:spacing w:before="80" w:after="80"/>
        <w:jc w:val="left"/>
      </w:pPr>
      <w:r>
        <w:rPr>
          <w:rFonts w:ascii="Arial" w:cs="Arial" w:eastAsia="Arial" w:hAnsi="Arial"/>
          <w:b w:val="false"/>
          <w:bCs w:val="false"/>
          <w:sz w:val="20"/>
          <w:szCs w:val="20"/>
        </w:rPr>
        <w:t xml:space="preserve">Phalippou, L., &amp; Gottschalg, O. (2009). The performance of private equity funds. Review of Financial Studies, 22(4), 1747–1776. [Academic] DOI: 10.1093/rfs/hhn014</w:t>
      </w:r>
    </w:p>
    <w:p>
      <w:pPr>
        <w:spacing w:before="80" w:after="80"/>
        <w:jc w:val="left"/>
      </w:pPr>
      <w:r>
        <w:rPr>
          <w:rFonts w:ascii="Arial" w:cs="Arial" w:eastAsia="Arial" w:hAnsi="Arial"/>
          <w:b w:val="false"/>
          <w:bCs w:val="false"/>
          <w:sz w:val="20"/>
          <w:szCs w:val="20"/>
        </w:rPr>
        <w:t xml:space="preserve">Stafford, E. (2022). Replicating private equity with value investing, homemade leverage, and hold-to-maturity accounting. Review of Financial Studies, 35(1), 299–342. [Academic] DOI: 10.1093/rfs/hhab020</w:t>
      </w:r>
    </w:p>
    <w:p>
      <w:pPr>
        <w:spacing w:before="80" w:after="80"/>
        <w:jc w:val="left"/>
      </w:pPr>
      <w:r>
        <w:rPr>
          <w:rFonts w:ascii="Arial" w:cs="Arial" w:eastAsia="Arial" w:hAnsi="Arial"/>
          <w:b w:val="false"/>
          <w:bCs w:val="false"/>
          <w:sz w:val="20"/>
          <w:szCs w:val="20"/>
        </w:rPr>
        <w:t xml:space="preserve">Strömberg, P. (2008). The new demography of private equity. In The global impact of private equity report 2008. World Economic Forum / IESE. [Academic working paper] Available via SSRN: https://ssrn.com/abstract=1110803</w:t>
      </w:r>
    </w:p>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bCs/>
          <w:sz w:val="20"/>
          <w:szCs w:val="20"/>
        </w:rPr>
        <w:t xml:space="preserve">Regulatory Sources</w:t>
      </w:r>
    </w:p>
    <w:p>
      <w:pPr>
        <w:spacing w:before="80" w:after="80"/>
        <w:jc w:val="left"/>
      </w:pPr>
      <w:r>
        <w:rPr>
          <w:rFonts w:ascii="Arial" w:cs="Arial" w:eastAsia="Arial" w:hAnsi="Arial"/>
          <w:b w:val="false"/>
          <w:bCs w:val="false"/>
          <w:sz w:val="20"/>
          <w:szCs w:val="20"/>
        </w:rPr>
        <w:t xml:space="preserve">Reserve Bank of India. (2019). Prudential framework for resolution of stressed assets. RBI Circular DBR.No.BP.BC.45/21.04.048/2018-19. Available: https://www.rbi.org.in/Scripts/NotificationUser.aspx?Id=11580 [Regulatory]</w:t>
      </w:r>
    </w:p>
    <w:p>
      <w:pPr>
        <w:spacing w:before="80" w:after="80"/>
        <w:jc w:val="left"/>
      </w:pPr>
      <w:r>
        <w:rPr>
          <w:rFonts w:ascii="Arial" w:cs="Arial" w:eastAsia="Arial" w:hAnsi="Arial"/>
          <w:b w:val="false"/>
          <w:bCs w:val="false"/>
          <w:sz w:val="20"/>
          <w:szCs w:val="20"/>
        </w:rPr>
        <w:t xml:space="preserve">Securities and Exchange Board of India. (2012, as amended 2024). SEBI (Alternative Investment Funds) Regulations, 2012. Available: https://www.sebi.gov.in/legal/regulations/may-2012/sebi-alternative-investment-funds-regulations-2012_18977.html [Regulatory]</w:t>
      </w:r>
    </w:p>
    <w:p>
      <w:pPr>
        <w:spacing w:before="80" w:after="80"/>
        <w:jc w:val="left"/>
      </w:pPr>
      <w:r>
        <w:rPr>
          <w:rFonts w:ascii="Arial" w:cs="Arial" w:eastAsia="Arial" w:hAnsi="Arial"/>
          <w:b w:val="false"/>
          <w:bCs w:val="false"/>
          <w:sz w:val="20"/>
          <w:szCs w:val="20"/>
        </w:rPr>
        <w:t xml:space="preserve">Securities and Exchange Board of India. (2024). Annual report 2023–24. SEBI. [Regulatory — data source for Indian IPO market statistics]</w:t>
      </w:r>
    </w:p>
    <w:p>
      <w:pPr>
        <w:spacing w:before="20" w:after="20"/>
        <w:jc w:val="left"/>
      </w:pPr>
      <w:r>
        <w:rPr>
          <w:rFonts w:ascii="Arial" w:cs="Arial" w:eastAsia="Arial" w:hAnsi="Arial"/>
          <w:b w:val="false"/>
          <w:bCs w:val="false"/>
          <w:sz w:val="8"/>
          <w:szCs w:val="8"/>
        </w:rPr>
        <w:t xml:space="preserve"> </w:t>
      </w:r>
    </w:p>
    <w:p>
      <w:pPr>
        <w:spacing w:before="80" w:after="80"/>
        <w:jc w:val="left"/>
      </w:pPr>
      <w:r>
        <w:rPr>
          <w:rFonts w:ascii="Arial" w:cs="Arial" w:eastAsia="Arial" w:hAnsi="Arial"/>
          <w:b/>
          <w:bCs/>
          <w:sz w:val="20"/>
          <w:szCs w:val="20"/>
        </w:rPr>
        <w:t xml:space="preserve">Practitioner Sources (Used Where No Academic Equivalent Exists — See Limitations, Section 6.2)</w:t>
      </w:r>
    </w:p>
    <w:p>
      <w:pPr>
        <w:spacing w:before="80" w:after="80"/>
        <w:jc w:val="left"/>
      </w:pPr>
      <w:r>
        <w:rPr>
          <w:rFonts w:ascii="Arial" w:cs="Arial" w:eastAsia="Arial" w:hAnsi="Arial"/>
          <w:b w:val="false"/>
          <w:bCs w:val="false"/>
          <w:sz w:val="20"/>
          <w:szCs w:val="20"/>
        </w:rPr>
        <w:t xml:space="preserve">Bain &amp; Company. (2025). Leaning into the turbulence: Private equity midyear report 2025. Bain &amp; Company. [Practitioner — selection bias likely; methodology undisclosed]</w:t>
      </w:r>
    </w:p>
    <w:p>
      <w:pPr>
        <w:spacing w:before="80" w:after="80"/>
        <w:jc w:val="left"/>
      </w:pPr>
      <w:r>
        <w:rPr>
          <w:rFonts w:ascii="Arial" w:cs="Arial" w:eastAsia="Arial" w:hAnsi="Arial"/>
          <w:b w:val="false"/>
          <w:bCs w:val="false"/>
          <w:sz w:val="20"/>
          <w:szCs w:val="20"/>
        </w:rPr>
        <w:t xml:space="preserve">Indian Venture Capital Association (IVCA). (2024). India PE/VC report 2024. IVCA. [Practitioner — trade body data; likely reflects larger and more successful transactions; no peer-reviewed Indian PE return study exists at equivalent granularity]</w:t>
      </w:r>
    </w:p>
    <w:p>
      <w:pPr>
        <w:spacing w:before="80" w:after="80"/>
        <w:jc w:val="left"/>
      </w:pPr>
      <w:r>
        <w:rPr>
          <w:rFonts w:ascii="Arial" w:cs="Arial" w:eastAsia="Arial" w:hAnsi="Arial"/>
          <w:b w:val="false"/>
          <w:bCs w:val="false"/>
          <w:sz w:val="20"/>
          <w:szCs w:val="20"/>
        </w:rPr>
        <w:t xml:space="preserve">Loan Syndications and Trading Association (LSTA). (2012). Survey of covenant breach outcomes in leveraged loans 2009–2012. LSTA. [Practitioner — trade body source; replaced as primary citation by Gilson et al. (1990) and Davydenko &amp; Franks (2008) in this version; retained as corroborating industry evidence only]</w:t>
      </w:r>
    </w:p>
    <w:p>
      <w:pPr>
        <w:spacing w:before="80" w:after="80"/>
        <w:jc w:val="left"/>
      </w:pPr>
      <w:r>
        <w:rPr>
          <w:rFonts w:ascii="Arial" w:cs="Arial" w:eastAsia="Arial" w:hAnsi="Arial"/>
          <w:b w:val="false"/>
          <w:bCs w:val="false"/>
          <w:sz w:val="20"/>
          <w:szCs w:val="20"/>
        </w:rPr>
        <w:t xml:space="preserve">Simon-Kucher &amp; Partners. (2025). PE value creation study 2025: Industrial and business services. Simon-Kucher &amp; Partners. [Practitioner — initiative failure rate data not peer-reviewed; sample not fully disclosed; likely reflects disclosed engagements rather than full population of PE portfolio companies]</w:t>
      </w:r>
    </w:p>
    <w:p>
      <w:pPr>
        <w:spacing w:before="20" w:after="20"/>
        <w:jc w:val="left"/>
      </w:pPr>
      <w:r>
        <w:rPr>
          <w:rFonts w:ascii="Arial" w:cs="Arial" w:eastAsia="Arial" w:hAnsi="Arial"/>
          <w:b w:val="false"/>
          <w:bCs w:val="false"/>
          <w:sz w:val="8"/>
          <w:szCs w:val="8"/>
        </w:rPr>
        <w:t xml:space="preserve"> </w:t>
      </w:r>
    </w:p>
    <w:p>
      <w:pPr>
        <w:spacing w:before="80" w:after="80"/>
        <w:jc w:val="center"/>
      </w:pPr>
      <w:r>
        <w:rPr>
          <w:rFonts w:ascii="Arial" w:cs="Arial" w:eastAsia="Arial" w:hAnsi="Arial"/>
          <w:b w:val="false"/>
          <w:bCs w:val="false"/>
          <w:sz w:val="18"/>
          <w:szCs w:val="18"/>
        </w:rPr>
        <w:t xml:space="preserve">— End of Paper — Anchored Alpha v4.0 (Final) — March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2026-03-20T17:55:49.598Z</dcterms:created>
  <dcterms:modified xsi:type="dcterms:W3CDTF">2026-03-20T17:55:49.598Z</dcterms:modified>
</cp:coreProperties>
</file>

<file path=docProps/custom.xml><?xml version="1.0" encoding="utf-8"?>
<Properties xmlns="http://schemas.openxmlformats.org/officeDocument/2006/custom-properties" xmlns:vt="http://schemas.openxmlformats.org/officeDocument/2006/docPropsVTypes"/>
</file>