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MS-DIAL Console Lipidomics Workflow</w:t>
      </w:r>
    </w:p>
    <w:p>
      <w:pPr>
        <w:jc w:val="center"/>
      </w:pPr>
      <w:r>
        <w:rPr>
          <w:sz w:val="30"/>
        </w:rPr>
        <w:t>Technical Documentation and Reproducible Handover</w:t>
      </w:r>
    </w:p>
    <w:p/>
    <w:p>
      <w:pPr>
        <w:jc w:val="center"/>
      </w:pPr>
      <w:r>
        <w:rPr>
          <w:b/>
          <w:sz w:val="24"/>
        </w:rPr>
        <w:t>Human Plasma • DDA • Positive and Negative Ionization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Verified setting</w:t>
            </w:r>
          </w:p>
        </w:tc>
      </w:tr>
      <w:tr>
        <w:tc>
          <w:tcPr>
            <w:tcW w:type="dxa" w:w="4968"/>
            <w:vAlign w:val="center"/>
          </w:tcPr>
          <w:p>
            <w:r/>
            <w:r>
              <w:rPr>
                <w:b w:val="0"/>
                <w:sz w:val="18"/>
              </w:rPr>
              <w:t>Workflow software</w:t>
            </w:r>
          </w:p>
        </w:tc>
        <w:tc>
          <w:tcPr>
            <w:tcW w:type="dxa" w:w="4968"/>
            <w:vAlign w:val="center"/>
          </w:tcPr>
          <w:p>
            <w:r/>
            <w:r>
              <w:rPr>
                <w:b w:val="0"/>
                <w:sz w:val="18"/>
              </w:rPr>
              <w:t>MS-DIAL Console</w:t>
            </w:r>
          </w:p>
        </w:tc>
      </w:tr>
      <w:tr>
        <w:tc>
          <w:tcPr>
            <w:tcW w:type="dxa" w:w="4968"/>
            <w:vAlign w:val="center"/>
          </w:tcPr>
          <w:p>
            <w:r/>
            <w:r>
              <w:rPr>
                <w:b w:val="0"/>
                <w:sz w:val="18"/>
              </w:rPr>
              <w:t>Installed version</w:t>
            </w:r>
          </w:p>
        </w:tc>
        <w:tc>
          <w:tcPr>
            <w:tcW w:type="dxa" w:w="4968"/>
            <w:vAlign w:val="center"/>
          </w:tcPr>
          <w:p>
            <w:r/>
            <w:r>
              <w:rPr>
                <w:b w:val="0"/>
                <w:sz w:val="18"/>
              </w:rPr>
              <w:t>5.5.251021</w:t>
            </w:r>
          </w:p>
        </w:tc>
      </w:tr>
      <w:tr>
        <w:tc>
          <w:tcPr>
            <w:tcW w:type="dxa" w:w="4968"/>
            <w:vAlign w:val="center"/>
          </w:tcPr>
          <w:p>
            <w:r/>
            <w:r>
              <w:rPr>
                <w:b w:val="0"/>
                <w:sz w:val="18"/>
              </w:rPr>
              <w:t>Input</w:t>
            </w:r>
          </w:p>
        </w:tc>
        <w:tc>
          <w:tcPr>
            <w:tcW w:type="dxa" w:w="4968"/>
            <w:vAlign w:val="center"/>
          </w:tcPr>
          <w:p>
            <w:r/>
            <w:r>
              <w:rPr>
                <w:b w:val="0"/>
                <w:sz w:val="18"/>
              </w:rPr>
              <w:t>mzML, MS1–MS2</w:t>
            </w:r>
          </w:p>
        </w:tc>
      </w:tr>
      <w:tr>
        <w:tc>
          <w:tcPr>
            <w:tcW w:type="dxa" w:w="4968"/>
            <w:vAlign w:val="center"/>
          </w:tcPr>
          <w:p>
            <w:r/>
            <w:r>
              <w:rPr>
                <w:b w:val="0"/>
                <w:sz w:val="18"/>
              </w:rPr>
              <w:t>Data type</w:t>
            </w:r>
          </w:p>
        </w:tc>
        <w:tc>
          <w:tcPr>
            <w:tcW w:type="dxa" w:w="4968"/>
            <w:vAlign w:val="center"/>
          </w:tcPr>
          <w:p>
            <w:r/>
            <w:r>
              <w:rPr>
                <w:b w:val="0"/>
                <w:sz w:val="18"/>
              </w:rPr>
              <w:t>Human plasma lipidomics</w:t>
            </w:r>
          </w:p>
        </w:tc>
      </w:tr>
      <w:tr>
        <w:tc>
          <w:tcPr>
            <w:tcW w:type="dxa" w:w="4968"/>
            <w:vAlign w:val="center"/>
          </w:tcPr>
          <w:p>
            <w:r/>
            <w:r>
              <w:rPr>
                <w:b w:val="0"/>
                <w:sz w:val="18"/>
              </w:rPr>
              <w:t>Acquisition</w:t>
            </w:r>
          </w:p>
        </w:tc>
        <w:tc>
          <w:tcPr>
            <w:tcW w:type="dxa" w:w="4968"/>
            <w:vAlign w:val="center"/>
          </w:tcPr>
          <w:p>
            <w:r/>
            <w:r>
              <w:rPr>
                <w:b w:val="0"/>
                <w:sz w:val="18"/>
              </w:rPr>
              <w:t>DDA</w:t>
            </w:r>
          </w:p>
        </w:tc>
      </w:tr>
      <w:tr>
        <w:tc>
          <w:tcPr>
            <w:tcW w:type="dxa" w:w="4968"/>
            <w:vAlign w:val="center"/>
          </w:tcPr>
          <w:p>
            <w:r/>
            <w:r>
              <w:rPr>
                <w:b w:val="0"/>
                <w:sz w:val="18"/>
              </w:rPr>
              <w:t>Ionization</w:t>
            </w:r>
          </w:p>
        </w:tc>
        <w:tc>
          <w:tcPr>
            <w:tcW w:type="dxa" w:w="4968"/>
            <w:vAlign w:val="center"/>
          </w:tcPr>
          <w:p>
            <w:r/>
            <w:r>
              <w:rPr>
                <w:b w:val="0"/>
                <w:sz w:val="18"/>
              </w:rPr>
              <w:t>Positive and Negative; processed separately</w:t>
            </w:r>
          </w:p>
        </w:tc>
      </w:tr>
      <w:tr>
        <w:tc>
          <w:tcPr>
            <w:tcW w:type="dxa" w:w="4968"/>
            <w:vAlign w:val="center"/>
          </w:tcPr>
          <w:p>
            <w:r/>
            <w:r>
              <w:rPr>
                <w:b w:val="0"/>
                <w:sz w:val="18"/>
              </w:rPr>
              <w:t>Spectral library approach</w:t>
            </w:r>
          </w:p>
        </w:tc>
        <w:tc>
          <w:tcPr>
            <w:tcW w:type="dxa" w:w="4968"/>
            <w:vAlign w:val="center"/>
          </w:tcPr>
          <w:p>
            <w:r/>
            <w:r>
              <w:rPr>
                <w:b w:val="0"/>
                <w:sz w:val="18"/>
              </w:rPr>
              <w:t>MSP lipid spectral libraries</w:t>
            </w:r>
          </w:p>
        </w:tc>
      </w:tr>
      <w:tr>
        <w:tc>
          <w:tcPr>
            <w:tcW w:type="dxa" w:w="4968"/>
            <w:vAlign w:val="center"/>
          </w:tcPr>
          <w:p>
            <w:r/>
            <w:r>
              <w:rPr>
                <w:b w:val="0"/>
                <w:sz w:val="18"/>
              </w:rPr>
              <w:t>Validation sample</w:t>
            </w:r>
          </w:p>
        </w:tc>
        <w:tc>
          <w:tcPr>
            <w:tcW w:type="dxa" w:w="4968"/>
            <w:vAlign w:val="center"/>
          </w:tcPr>
          <w:p>
            <w:r/>
            <w:r>
              <w:rPr>
                <w:b w:val="0"/>
                <w:sz w:val="18"/>
              </w:rPr>
              <w:t>VZ0000099</w:t>
            </w:r>
          </w:p>
        </w:tc>
      </w:tr>
      <w:tr>
        <w:tc>
          <w:tcPr>
            <w:tcW w:type="dxa" w:w="4968"/>
            <w:vAlign w:val="center"/>
          </w:tcPr>
          <w:p>
            <w:r/>
            <w:r>
              <w:rPr>
                <w:b w:val="0"/>
                <w:sz w:val="18"/>
              </w:rPr>
              <w:t>Post-processing</w:t>
            </w:r>
          </w:p>
        </w:tc>
        <w:tc>
          <w:tcPr>
            <w:tcW w:type="dxa" w:w="4968"/>
            <w:vAlign w:val="center"/>
          </w:tcPr>
          <w:p>
            <w:r/>
            <w:r>
              <w:rPr>
                <w:b w:val="0"/>
                <w:sz w:val="18"/>
              </w:rPr>
              <w:t>Python 3 summary script</w:t>
            </w:r>
          </w:p>
        </w:tc>
      </w:tr>
    </w:tbl>
    <w:p/>
    <w:p>
      <w:pPr>
        <w:jc w:val="center"/>
      </w:pPr>
      <w:r>
        <w:rPr>
          <w:sz w:val="22"/>
        </w:rPr>
        <w:t>Prepared by Gayatri Samant</w:t>
        <w:br/>
        <w:t>Bioinformatics – Lipidomics</w:t>
      </w:r>
    </w:p>
    <w:p>
      <w:r>
        <w:br w:type="page"/>
      </w:r>
    </w:p>
    <w:p>
      <w:pPr>
        <w:pStyle w:val="Heading1"/>
      </w:pPr>
      <w:r>
        <w:t>1. Purpose and Scope</w:t>
      </w:r>
    </w:p>
    <w:p>
      <w:r>
        <w:t>This document records the MS-DIAL Console workflow that was implemented and tested for untargeted human plasma lipidomics. It is intended as a technical handover and reproducibility document, covering installation, library setup, command-line execution, processing parameters, troubleshooting, result generation, and post-processing.</w:t>
      </w:r>
    </w:p>
    <w:p>
      <w:r>
        <w:rPr>
          <w:b/>
        </w:rPr>
        <w:t xml:space="preserve">Scope: </w:t>
      </w:r>
      <w:r>
        <w:t>MS-DIAL Console processing and MS/MS-supported lipid annotation only.</w:t>
      </w:r>
    </w:p>
    <w:p>
      <w:r>
        <w:rPr>
          <w:b/>
        </w:rPr>
        <w:t xml:space="preserve">Out of scope: </w:t>
      </w:r>
      <w:r>
        <w:t>LipidSearch, LIPID MAPS, LIPEA, and other unrelated lipidomics workflows are intentionally not included.</w:t>
      </w:r>
    </w:p>
    <w:p>
      <w:r>
        <w:rPr>
          <w:b/>
        </w:rPr>
        <w:t xml:space="preserve">Interpretation: </w:t>
      </w:r>
      <w:r>
        <w:t>The VZ0000099 results are workflow-validation results. The annotations are putative MS/MS-supported annotations and are not presented as definitive structural identifications or biological conclusions.</w:t>
      </w:r>
    </w:p>
    <w:p>
      <w:pPr>
        <w:pStyle w:val="Heading1"/>
      </w:pPr>
      <w:r>
        <w:t>2. Experimental and Computational Setup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Parameter</w:t>
            </w:r>
          </w:p>
        </w:tc>
        <w:tc>
          <w:tcPr>
            <w:tcW w:type="dxa" w:w="4968"/>
            <w:vAlign w:val="center"/>
            <w:shd w:fill="D9EAF7"/>
          </w:tcPr>
          <w:p>
            <w:r/>
            <w:r>
              <w:rPr>
                <w:b/>
                <w:sz w:val="18"/>
              </w:rPr>
              <w:t>Setting</w:t>
            </w:r>
          </w:p>
        </w:tc>
      </w:tr>
      <w:tr>
        <w:tc>
          <w:tcPr>
            <w:tcW w:type="dxa" w:w="4968"/>
            <w:vAlign w:val="center"/>
          </w:tcPr>
          <w:p>
            <w:r/>
            <w:r>
              <w:rPr>
                <w:b w:val="0"/>
                <w:sz w:val="18"/>
              </w:rPr>
              <w:t>Sample type</w:t>
            </w:r>
          </w:p>
        </w:tc>
        <w:tc>
          <w:tcPr>
            <w:tcW w:type="dxa" w:w="4968"/>
            <w:vAlign w:val="center"/>
          </w:tcPr>
          <w:p>
            <w:r/>
            <w:r>
              <w:rPr>
                <w:b w:val="0"/>
                <w:sz w:val="18"/>
              </w:rPr>
              <w:t>Human plasma</w:t>
            </w:r>
          </w:p>
        </w:tc>
      </w:tr>
      <w:tr>
        <w:tc>
          <w:tcPr>
            <w:tcW w:type="dxa" w:w="4968"/>
            <w:vAlign w:val="center"/>
          </w:tcPr>
          <w:p>
            <w:r/>
            <w:r>
              <w:rPr>
                <w:b w:val="0"/>
                <w:sz w:val="18"/>
              </w:rPr>
              <w:t>Instrument</w:t>
            </w:r>
          </w:p>
        </w:tc>
        <w:tc>
          <w:tcPr>
            <w:tcW w:type="dxa" w:w="4968"/>
            <w:vAlign w:val="center"/>
          </w:tcPr>
          <w:p>
            <w:r/>
            <w:r>
              <w:rPr>
                <w:b w:val="0"/>
                <w:sz w:val="18"/>
              </w:rPr>
              <w:t>Thermo Orbitrap Exploris 240</w:t>
            </w:r>
          </w:p>
        </w:tc>
      </w:tr>
      <w:tr>
        <w:tc>
          <w:tcPr>
            <w:tcW w:type="dxa" w:w="4968"/>
            <w:vAlign w:val="center"/>
          </w:tcPr>
          <w:p>
            <w:r/>
            <w:r>
              <w:rPr>
                <w:b w:val="0"/>
                <w:sz w:val="18"/>
              </w:rPr>
              <w:t>Acquisition</w:t>
            </w:r>
          </w:p>
        </w:tc>
        <w:tc>
          <w:tcPr>
            <w:tcW w:type="dxa" w:w="4968"/>
            <w:vAlign w:val="center"/>
          </w:tcPr>
          <w:p>
            <w:r/>
            <w:r>
              <w:rPr>
                <w:b w:val="0"/>
                <w:sz w:val="18"/>
              </w:rPr>
              <w:t>Data-dependent acquisition (DDA)</w:t>
            </w:r>
          </w:p>
        </w:tc>
      </w:tr>
      <w:tr>
        <w:tc>
          <w:tcPr>
            <w:tcW w:type="dxa" w:w="4968"/>
            <w:vAlign w:val="center"/>
          </w:tcPr>
          <w:p>
            <w:r/>
            <w:r>
              <w:rPr>
                <w:b w:val="0"/>
                <w:sz w:val="18"/>
              </w:rPr>
              <w:t>Ionization</w:t>
            </w:r>
          </w:p>
        </w:tc>
        <w:tc>
          <w:tcPr>
            <w:tcW w:type="dxa" w:w="4968"/>
            <w:vAlign w:val="center"/>
          </w:tcPr>
          <w:p>
            <w:r/>
            <w:r>
              <w:rPr>
                <w:b w:val="0"/>
                <w:sz w:val="18"/>
              </w:rPr>
              <w:t>Positive and Negative</w:t>
            </w:r>
          </w:p>
        </w:tc>
      </w:tr>
      <w:tr>
        <w:tc>
          <w:tcPr>
            <w:tcW w:type="dxa" w:w="4968"/>
            <w:vAlign w:val="center"/>
          </w:tcPr>
          <w:p>
            <w:r/>
            <w:r>
              <w:rPr>
                <w:b w:val="0"/>
                <w:sz w:val="18"/>
              </w:rPr>
              <w:t>Mobile phase additive</w:t>
            </w:r>
          </w:p>
        </w:tc>
        <w:tc>
          <w:tcPr>
            <w:tcW w:type="dxa" w:w="4968"/>
            <w:vAlign w:val="center"/>
          </w:tcPr>
          <w:p>
            <w:r/>
            <w:r>
              <w:rPr>
                <w:b w:val="0"/>
                <w:sz w:val="18"/>
              </w:rPr>
              <w:t>10 mM ammonium formate + 0.1% formic acid</w:t>
            </w:r>
          </w:p>
        </w:tc>
      </w:tr>
      <w:tr>
        <w:tc>
          <w:tcPr>
            <w:tcW w:type="dxa" w:w="4968"/>
            <w:vAlign w:val="center"/>
          </w:tcPr>
          <w:p>
            <w:r/>
            <w:r>
              <w:rPr>
                <w:b w:val="0"/>
                <w:sz w:val="18"/>
              </w:rPr>
              <w:t>Input format</w:t>
            </w:r>
          </w:p>
        </w:tc>
        <w:tc>
          <w:tcPr>
            <w:tcW w:type="dxa" w:w="4968"/>
            <w:vAlign w:val="center"/>
          </w:tcPr>
          <w:p>
            <w:r/>
            <w:r>
              <w:rPr>
                <w:b w:val="0"/>
                <w:sz w:val="18"/>
              </w:rPr>
              <w:t>mzML</w:t>
            </w:r>
          </w:p>
        </w:tc>
      </w:tr>
      <w:tr>
        <w:tc>
          <w:tcPr>
            <w:tcW w:type="dxa" w:w="4968"/>
            <w:vAlign w:val="center"/>
          </w:tcPr>
          <w:p>
            <w:r/>
            <w:r>
              <w:rPr>
                <w:b w:val="0"/>
                <w:sz w:val="18"/>
              </w:rPr>
              <w:t>MS levels</w:t>
            </w:r>
          </w:p>
        </w:tc>
        <w:tc>
          <w:tcPr>
            <w:tcW w:type="dxa" w:w="4968"/>
            <w:vAlign w:val="center"/>
          </w:tcPr>
          <w:p>
            <w:r/>
            <w:r>
              <w:rPr>
                <w:b w:val="0"/>
                <w:sz w:val="18"/>
              </w:rPr>
              <w:t>MS1–MS2</w:t>
            </w:r>
          </w:p>
        </w:tc>
      </w:tr>
      <w:tr>
        <w:tc>
          <w:tcPr>
            <w:tcW w:type="dxa" w:w="4968"/>
            <w:vAlign w:val="center"/>
          </w:tcPr>
          <w:p>
            <w:r/>
            <w:r>
              <w:rPr>
                <w:b w:val="0"/>
                <w:sz w:val="18"/>
              </w:rPr>
              <w:t>Processing software</w:t>
            </w:r>
          </w:p>
        </w:tc>
        <w:tc>
          <w:tcPr>
            <w:tcW w:type="dxa" w:w="4968"/>
            <w:vAlign w:val="center"/>
          </w:tcPr>
          <w:p>
            <w:r/>
            <w:r>
              <w:rPr>
                <w:b w:val="0"/>
                <w:sz w:val="18"/>
              </w:rPr>
              <w:t>MS-DIAL Console</w:t>
            </w:r>
          </w:p>
        </w:tc>
      </w:tr>
      <w:tr>
        <w:tc>
          <w:tcPr>
            <w:tcW w:type="dxa" w:w="4968"/>
            <w:vAlign w:val="center"/>
          </w:tcPr>
          <w:p>
            <w:r/>
            <w:r>
              <w:rPr>
                <w:b w:val="0"/>
                <w:sz w:val="18"/>
              </w:rPr>
              <w:t>Annotation library</w:t>
            </w:r>
          </w:p>
        </w:tc>
        <w:tc>
          <w:tcPr>
            <w:tcW w:type="dxa" w:w="4968"/>
            <w:vAlign w:val="center"/>
          </w:tcPr>
          <w:p>
            <w:r/>
            <w:r>
              <w:rPr>
                <w:b w:val="0"/>
                <w:sz w:val="18"/>
              </w:rPr>
              <w:t>MSP lipid spectral library</w:t>
            </w:r>
          </w:p>
        </w:tc>
      </w:tr>
      <w:tr>
        <w:tc>
          <w:tcPr>
            <w:tcW w:type="dxa" w:w="4968"/>
            <w:vAlign w:val="center"/>
          </w:tcPr>
          <w:p>
            <w:r/>
            <w:r>
              <w:rPr>
                <w:b w:val="0"/>
                <w:sz w:val="18"/>
              </w:rPr>
              <w:t>Operating environment</w:t>
            </w:r>
          </w:p>
        </w:tc>
        <w:tc>
          <w:tcPr>
            <w:tcW w:type="dxa" w:w="4968"/>
            <w:vAlign w:val="center"/>
          </w:tcPr>
          <w:p>
            <w:r/>
            <w:r>
              <w:rPr>
                <w:b w:val="0"/>
                <w:sz w:val="18"/>
              </w:rPr>
              <w:t>Ubuntu/WSL</w:t>
            </w:r>
          </w:p>
        </w:tc>
      </w:tr>
    </w:tbl>
    <w:p>
      <w:pPr>
        <w:pStyle w:val="Heading1"/>
      </w:pPr>
      <w:r>
        <w:t>3. End-to-End Workflow</w:t>
      </w:r>
    </w:p>
    <w:p>
      <w:r>
        <w:t>The implemented workflow separates positive and negative ionization data so that polarity-specific adduct lists, libraries, and processing parameters can be applied independently.</w:t>
      </w:r>
    </w:p>
    <w:p>
      <w:pPr>
        <w:spacing w:before="60" w:after="120"/>
        <w:ind w:left="360" w:right="360"/>
      </w:pPr>
      <w:r>
        <w:rPr>
          <w:rFonts w:ascii="Consolas" w:hAnsi="Consolas"/>
          <w:sz w:val="17"/>
        </w:rPr>
        <w:t>Thermo RAW</w:t>
        <w:br/>
        <w:t xml:space="preserve">    |</w:t>
        <w:br/>
        <w:t xml:space="preserve">    v</w:t>
        <w:br/>
        <w:t>ProteoWizard MSConvert</w:t>
        <w:br/>
        <w:t xml:space="preserve">    |</w:t>
        <w:br/>
        <w:t xml:space="preserve">    v</w:t>
        <w:br/>
        <w:t>mzML (MS1–MS2)</w:t>
        <w:br/>
        <w:t xml:space="preserve">    |</w:t>
        <w:br/>
        <w:t xml:space="preserve">    +-----------------------+</w:t>
        <w:br/>
        <w:t xml:space="preserve">    |                       |</w:t>
        <w:br/>
        <w:t xml:space="preserve">    v                       v</w:t>
        <w:br/>
        <w:t>Positive                  Negative</w:t>
        <w:br/>
        <w:t>ion mode                  ion mode</w:t>
        <w:br/>
        <w:t xml:space="preserve">    |                       |</w:t>
        <w:br/>
        <w:t xml:space="preserve">    v                       v</w:t>
        <w:br/>
        <w:t>MS-DIAL Console           MS-DIAL Console</w:t>
        <w:br/>
        <w:t xml:space="preserve">    |                       |</w:t>
        <w:br/>
        <w:t xml:space="preserve">    v                       v</w:t>
        <w:br/>
        <w:t>Feature detection         Feature detection</w:t>
        <w:br/>
        <w:t xml:space="preserve">    |                       |</w:t>
        <w:br/>
        <w:t xml:space="preserve">    v                       v</w:t>
        <w:br/>
        <w:t>MS/MS annotation          MS/MS annotation</w:t>
        <w:br/>
        <w:t xml:space="preserve">    |                       |</w:t>
        <w:br/>
        <w:t xml:space="preserve">    +-----------+-----------+</w:t>
        <w:br/>
        <w:t xml:space="preserve">                |</w:t>
        <w:br/>
        <w:t xml:space="preserve">                v</w:t>
        <w:br/>
        <w:t xml:space="preserve">        MS-DIAL output files</w:t>
        <w:br/>
        <w:t xml:space="preserve">                |</w:t>
        <w:br/>
        <w:t xml:space="preserve">                v</w:t>
        <w:br/>
        <w:t xml:space="preserve">     Python post-processing</w:t>
        <w:br/>
        <w:t xml:space="preserve">                |</w:t>
        <w:br/>
        <w:t xml:space="preserve">                v</w:t>
        <w:br/>
        <w:t xml:space="preserve"> Summary + MS/MS annotations</w:t>
        <w:br/>
        <w:t xml:space="preserve"> + lipid-class distributions</w:t>
      </w:r>
    </w:p>
    <w:p>
      <w:pPr>
        <w:pStyle w:val="Heading1"/>
      </w:pPr>
      <w:r>
        <w:t>4. MS-DIAL Console Installation and Verification</w:t>
      </w:r>
    </w:p>
    <w:p>
      <w:r>
        <w:t>The MS-DIAL Console package used in the tested workflow was MSDIAL.console.v5.5.251021-linux-net8.zip. The extracted executable was MSDIALCUI.</w:t>
      </w:r>
    </w:p>
    <w:p>
      <w:pPr>
        <w:spacing w:before="60" w:after="120"/>
        <w:ind w:left="360" w:right="360"/>
      </w:pPr>
      <w:r>
        <w:rPr>
          <w:rFonts w:ascii="Consolas" w:hAnsi="Consolas"/>
          <w:sz w:val="17"/>
        </w:rPr>
        <w:t>cd ~/Lipidomics</w:t>
        <w:br/>
        <w:t>unzip MSDIAL.console.v5.5.251021-linux-net8.zip</w:t>
        <w:br/>
        <w:t>chmod +x MSDIALCUI</w:t>
        <w:br/>
        <w:t>./MSDIALCUI --help</w:t>
      </w:r>
    </w:p>
    <w:p>
      <w:r>
        <w:t>The installed console returned:</w:t>
      </w:r>
    </w:p>
    <w:p>
      <w:pPr>
        <w:spacing w:before="60" w:after="120"/>
        <w:ind w:left="360" w:right="360"/>
      </w:pPr>
      <w:r>
        <w:rPr>
          <w:rFonts w:ascii="Consolas" w:hAnsi="Consolas"/>
          <w:sz w:val="17"/>
        </w:rPr>
        <w:t>Msdial Console App Version 5.5.251021</w:t>
        <w:br/>
        <w:br/>
        <w:t>Msdial Console App requires the following args:</w:t>
        <w:br/>
        <w:t>MsdialConsoleApp.exe &lt;analysisType&gt; -i &lt;input folder&gt; -o &lt;output folder&gt; -m &lt;method file&gt; -p (option)</w:t>
        <w:br/>
        <w:br/>
        <w:t>&lt;analysisType&gt; is one of gcms, lcms</w:t>
        <w:br/>
        <w:t>&lt;input folder&gt; is the folder containing the files to be processed</w:t>
        <w:br/>
        <w:t>&lt;output folder&gt; is the folder to save results</w:t>
        <w:br/>
        <w:t>&lt;method file&gt; is a file holding processing properties</w:t>
        <w:br/>
        <w:t>-p is an option to generate MTB file to be loaded in MSDIAL GUI application.</w:t>
      </w:r>
    </w:p>
    <w:p>
      <w:r>
        <w:rPr>
          <w:b/>
        </w:rPr>
        <w:t xml:space="preserve">Version verification: </w:t>
      </w:r>
      <w:r>
        <w:t>The installed executable, not the current MS-DIAL website release, is the version documented here: 5.5.251021.</w:t>
      </w:r>
    </w:p>
    <w:p>
      <w:pPr>
        <w:pStyle w:val="Heading1"/>
      </w:pPr>
      <w:r>
        <w:t>5. Spectral Library Setup</w:t>
      </w:r>
    </w:p>
    <w:p>
      <w:r>
        <w:t>Three library files were present in the MS-DIAL working directory. The MSP files were used for the final validated workflow. An LBM2 library was also tested during workflow development but was not retained as the final library route because the LBM2 loading step produced a MessagePack format error.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Library</w:t>
            </w:r>
          </w:p>
        </w:tc>
        <w:tc>
          <w:tcPr>
            <w:tcW w:type="dxa" w:w="3312"/>
            <w:vAlign w:val="center"/>
            <w:shd w:fill="D9EAF7"/>
          </w:tcPr>
          <w:p>
            <w:r/>
            <w:r>
              <w:rPr>
                <w:b/>
                <w:sz w:val="18"/>
              </w:rPr>
              <w:t>Observed size</w:t>
            </w:r>
          </w:p>
        </w:tc>
        <w:tc>
          <w:tcPr>
            <w:tcW w:type="dxa" w:w="3312"/>
            <w:vAlign w:val="center"/>
            <w:shd w:fill="D9EAF7"/>
          </w:tcPr>
          <w:p>
            <w:r/>
            <w:r>
              <w:rPr>
                <w:b/>
                <w:sz w:val="18"/>
              </w:rPr>
              <w:t>Workflow status</w:t>
            </w:r>
          </w:p>
        </w:tc>
      </w:tr>
      <w:tr>
        <w:tc>
          <w:tcPr>
            <w:tcW w:type="dxa" w:w="3312"/>
            <w:vAlign w:val="center"/>
          </w:tcPr>
          <w:p>
            <w:r/>
            <w:r>
              <w:rPr>
                <w:b w:val="0"/>
                <w:sz w:val="18"/>
              </w:rPr>
              <w:t>MSDIAL-InsilicoMSMS-Lipids-Pos.msp</w:t>
            </w:r>
          </w:p>
        </w:tc>
        <w:tc>
          <w:tcPr>
            <w:tcW w:type="dxa" w:w="3312"/>
            <w:vAlign w:val="center"/>
          </w:tcPr>
          <w:p>
            <w:r/>
            <w:r>
              <w:rPr>
                <w:b w:val="0"/>
                <w:sz w:val="18"/>
              </w:rPr>
              <w:t>70 MB</w:t>
            </w:r>
          </w:p>
        </w:tc>
        <w:tc>
          <w:tcPr>
            <w:tcW w:type="dxa" w:w="3312"/>
            <w:vAlign w:val="center"/>
          </w:tcPr>
          <w:p>
            <w:r/>
            <w:r>
              <w:rPr>
                <w:b w:val="0"/>
                <w:sz w:val="18"/>
              </w:rPr>
              <w:t>Used for positive-mode MSP annotation</w:t>
            </w:r>
          </w:p>
        </w:tc>
      </w:tr>
      <w:tr>
        <w:tc>
          <w:tcPr>
            <w:tcW w:type="dxa" w:w="3312"/>
            <w:vAlign w:val="center"/>
          </w:tcPr>
          <w:p>
            <w:r/>
            <w:r>
              <w:rPr>
                <w:b w:val="0"/>
                <w:sz w:val="18"/>
              </w:rPr>
              <w:t>MSDIAL-InsilicoMSMS-Lipids-Neg.msp</w:t>
            </w:r>
          </w:p>
        </w:tc>
        <w:tc>
          <w:tcPr>
            <w:tcW w:type="dxa" w:w="3312"/>
            <w:vAlign w:val="center"/>
          </w:tcPr>
          <w:p>
            <w:r/>
            <w:r>
              <w:rPr>
                <w:b w:val="0"/>
                <w:sz w:val="18"/>
              </w:rPr>
              <w:t>177 MB</w:t>
            </w:r>
          </w:p>
        </w:tc>
        <w:tc>
          <w:tcPr>
            <w:tcW w:type="dxa" w:w="3312"/>
            <w:vAlign w:val="center"/>
          </w:tcPr>
          <w:p>
            <w:r/>
            <w:r>
              <w:rPr>
                <w:b w:val="0"/>
                <w:sz w:val="18"/>
              </w:rPr>
              <w:t>Used for negative-mode MSP annotation</w:t>
            </w:r>
          </w:p>
        </w:tc>
      </w:tr>
      <w:tr>
        <w:tc>
          <w:tcPr>
            <w:tcW w:type="dxa" w:w="3312"/>
            <w:vAlign w:val="center"/>
          </w:tcPr>
          <w:p>
            <w:r/>
            <w:r>
              <w:rPr>
                <w:b w:val="0"/>
                <w:sz w:val="18"/>
              </w:rPr>
              <w:t>LipidMsmsBinaryDB-VS68-FiehnO.lbm2</w:t>
            </w:r>
          </w:p>
        </w:tc>
        <w:tc>
          <w:tcPr>
            <w:tcW w:type="dxa" w:w="3312"/>
            <w:vAlign w:val="center"/>
          </w:tcPr>
          <w:p>
            <w:r/>
            <w:r>
              <w:rPr>
                <w:b w:val="0"/>
                <w:sz w:val="18"/>
              </w:rPr>
              <w:t>121 MB</w:t>
            </w:r>
          </w:p>
        </w:tc>
        <w:tc>
          <w:tcPr>
            <w:tcW w:type="dxa" w:w="3312"/>
            <w:vAlign w:val="center"/>
          </w:tcPr>
          <w:p>
            <w:r/>
            <w:r>
              <w:rPr>
                <w:b w:val="0"/>
                <w:sz w:val="18"/>
              </w:rPr>
              <w:t>Tested; MessagePack loading error; not final</w:t>
            </w:r>
          </w:p>
        </w:tc>
      </w:tr>
    </w:tbl>
    <w:p>
      <w:r>
        <w:t>Library presence can be checked with:</w:t>
      </w:r>
    </w:p>
    <w:p>
      <w:pPr>
        <w:spacing w:before="60" w:after="120"/>
        <w:ind w:left="360" w:right="360"/>
      </w:pPr>
      <w:r>
        <w:rPr>
          <w:rFonts w:ascii="Consolas" w:hAnsi="Consolas"/>
          <w:sz w:val="17"/>
        </w:rPr>
        <w:t>ls -lh ~/Lipidomics/*.msp ~/Lipidomics/*.lbm2</w:t>
      </w:r>
    </w:p>
    <w:p>
      <w:r>
        <w:t>The final parameter files point to the polarity-specific MSP libraries:</w:t>
      </w:r>
    </w:p>
    <w:p>
      <w:pPr>
        <w:spacing w:before="60" w:after="120"/>
        <w:ind w:left="360" w:right="360"/>
      </w:pPr>
      <w:r>
        <w:rPr>
          <w:rFonts w:ascii="Consolas" w:hAnsi="Consolas"/>
          <w:sz w:val="17"/>
        </w:rPr>
        <w:t>/home/shobita/Lipidomics/MSDIAL-InsilicoMSMS-Lipids-Pos.msp</w:t>
        <w:br/>
        <w:t>/home/shobita/Lipidomics/MSDIAL-InsilicoMSMS-Lipids-Neg.msp</w:t>
      </w:r>
    </w:p>
    <w:p>
      <w:pPr>
        <w:pStyle w:val="Heading1"/>
      </w:pPr>
      <w:r>
        <w:t>6. Project and Data Organization</w:t>
      </w:r>
    </w:p>
    <w:p>
      <w:pPr>
        <w:spacing w:before="60" w:after="120"/>
        <w:ind w:left="360" w:right="360"/>
      </w:pPr>
      <w:r>
        <w:rPr>
          <w:rFonts w:ascii="Consolas" w:hAnsi="Consolas"/>
          <w:sz w:val="17"/>
        </w:rPr>
        <w:t>~/Lipidomics/</w:t>
        <w:br/>
        <w:t>├── MSDIALCUI</w:t>
        <w:br/>
        <w:t>├── MSDIAL-InsilicoMSMS-Lipids-Pos.msp</w:t>
        <w:br/>
        <w:t>├── MSDIAL-InsilicoMSMS-Lipids-Neg.msp</w:t>
        <w:br/>
        <w:t>├── LipidMsmsBinaryDB-VS68-FiehnO.lbm2</w:t>
        <w:br/>
        <w:t>├── param_pos.txt</w:t>
        <w:br/>
        <w:t>├── data/</w:t>
        <w:br/>
        <w:t>│   ├── mzml_pos/</w:t>
        <w:br/>
        <w:t>│   └── mzml_neg/</w:t>
        <w:br/>
        <w:t>├── results_pos/</w:t>
        <w:br/>
        <w:t>└── project/</w:t>
        <w:br/>
        <w:t xml:space="preserve">    ├── data/</w:t>
        <w:br/>
        <w:t xml:space="preserve">    ├── docs/</w:t>
        <w:br/>
        <w:t xml:space="preserve">    ├── libraries/</w:t>
        <w:br/>
        <w:t xml:space="preserve">    ├── parameters/</w:t>
        <w:br/>
        <w:t xml:space="preserve">    ├── results/</w:t>
        <w:br/>
        <w:t xml:space="preserve">    └── scripts/</w:t>
      </w:r>
    </w:p>
    <w:p>
      <w:r>
        <w:t>The Git-based project separates input mzML files, documentation, parameter files, results, and scripts. Large raw/mzML files, spectral libraries, and generated MS-DIAL files are excluded from version control.</w:t>
      </w:r>
    </w:p>
    <w:p>
      <w:pPr>
        <w:pStyle w:val="Heading1"/>
      </w:pPr>
      <w:r>
        <w:t>7. MS-DIAL Parameter Configuration</w:t>
      </w:r>
    </w:p>
    <w:p>
      <w:pPr>
        <w:pStyle w:val="Heading2"/>
      </w:pPr>
      <w:r>
        <w:t>7.1 Positive mode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Parameter</w:t>
            </w:r>
          </w:p>
        </w:tc>
        <w:tc>
          <w:tcPr>
            <w:tcW w:type="dxa" w:w="4968"/>
            <w:vAlign w:val="center"/>
            <w:shd w:fill="D9EAF7"/>
          </w:tcPr>
          <w:p>
            <w:r/>
            <w:r>
              <w:rPr>
                <w:b/>
                <w:sz w:val="18"/>
              </w:rPr>
              <w:t>Value</w:t>
            </w:r>
          </w:p>
        </w:tc>
      </w:tr>
      <w:tr>
        <w:tc>
          <w:tcPr>
            <w:tcW w:type="dxa" w:w="4968"/>
            <w:vAlign w:val="center"/>
          </w:tcPr>
          <w:p>
            <w:r/>
            <w:r>
              <w:rPr>
                <w:b w:val="0"/>
                <w:sz w:val="18"/>
              </w:rPr>
              <w:t>Data type</w:t>
            </w:r>
          </w:p>
        </w:tc>
        <w:tc>
          <w:tcPr>
            <w:tcW w:type="dxa" w:w="4968"/>
            <w:vAlign w:val="center"/>
          </w:tcPr>
          <w:p>
            <w:r/>
            <w:r>
              <w:rPr>
                <w:b w:val="0"/>
                <w:sz w:val="18"/>
              </w:rPr>
              <w:t>Centroid</w:t>
            </w:r>
          </w:p>
        </w:tc>
      </w:tr>
      <w:tr>
        <w:tc>
          <w:tcPr>
            <w:tcW w:type="dxa" w:w="4968"/>
            <w:vAlign w:val="center"/>
          </w:tcPr>
          <w:p>
            <w:r/>
            <w:r>
              <w:rPr>
                <w:b w:val="0"/>
                <w:sz w:val="18"/>
              </w:rPr>
              <w:t>Ion mode</w:t>
            </w:r>
          </w:p>
        </w:tc>
        <w:tc>
          <w:tcPr>
            <w:tcW w:type="dxa" w:w="4968"/>
            <w:vAlign w:val="center"/>
          </w:tcPr>
          <w:p>
            <w:r/>
            <w:r>
              <w:rPr>
                <w:b w:val="0"/>
                <w:sz w:val="18"/>
              </w:rPr>
              <w:t>Positive</w:t>
            </w:r>
          </w:p>
        </w:tc>
      </w:tr>
      <w:tr>
        <w:tc>
          <w:tcPr>
            <w:tcW w:type="dxa" w:w="4968"/>
            <w:vAlign w:val="center"/>
          </w:tcPr>
          <w:p>
            <w:r/>
            <w:r>
              <w:rPr>
                <w:b w:val="0"/>
                <w:sz w:val="18"/>
              </w:rPr>
              <w:t>Target omics</w:t>
            </w:r>
          </w:p>
        </w:tc>
        <w:tc>
          <w:tcPr>
            <w:tcW w:type="dxa" w:w="4968"/>
            <w:vAlign w:val="center"/>
          </w:tcPr>
          <w:p>
            <w:r/>
            <w:r>
              <w:rPr>
                <w:b w:val="0"/>
                <w:sz w:val="18"/>
              </w:rPr>
              <w:t>Lipidomics</w:t>
            </w:r>
          </w:p>
        </w:tc>
      </w:tr>
      <w:tr>
        <w:tc>
          <w:tcPr>
            <w:tcW w:type="dxa" w:w="4968"/>
            <w:vAlign w:val="center"/>
          </w:tcPr>
          <w:p>
            <w:r/>
            <w:r>
              <w:rPr>
                <w:b w:val="0"/>
                <w:sz w:val="18"/>
              </w:rPr>
              <w:t>Ionization</w:t>
            </w:r>
          </w:p>
        </w:tc>
        <w:tc>
          <w:tcPr>
            <w:tcW w:type="dxa" w:w="4968"/>
            <w:vAlign w:val="center"/>
          </w:tcPr>
          <w:p>
            <w:r/>
            <w:r>
              <w:rPr>
                <w:b w:val="0"/>
                <w:sz w:val="18"/>
              </w:rPr>
              <w:t>ESI</w:t>
            </w:r>
          </w:p>
        </w:tc>
      </w:tr>
      <w:tr>
        <w:tc>
          <w:tcPr>
            <w:tcW w:type="dxa" w:w="4968"/>
            <w:vAlign w:val="center"/>
          </w:tcPr>
          <w:p>
            <w:r/>
            <w:r>
              <w:rPr>
                <w:b w:val="0"/>
                <w:sz w:val="18"/>
              </w:rPr>
              <w:t>MS1 tolerance</w:t>
            </w:r>
          </w:p>
        </w:tc>
        <w:tc>
          <w:tcPr>
            <w:tcW w:type="dxa" w:w="4968"/>
            <w:vAlign w:val="center"/>
          </w:tcPr>
          <w:p>
            <w:r/>
            <w:r>
              <w:rPr>
                <w:b w:val="0"/>
                <w:sz w:val="18"/>
              </w:rPr>
              <w:t>0.01</w:t>
            </w:r>
          </w:p>
        </w:tc>
      </w:tr>
      <w:tr>
        <w:tc>
          <w:tcPr>
            <w:tcW w:type="dxa" w:w="4968"/>
            <w:vAlign w:val="center"/>
          </w:tcPr>
          <w:p>
            <w:r/>
            <w:r>
              <w:rPr>
                <w:b w:val="0"/>
                <w:sz w:val="18"/>
              </w:rPr>
              <w:t>MS2 tolerance</w:t>
            </w:r>
          </w:p>
        </w:tc>
        <w:tc>
          <w:tcPr>
            <w:tcW w:type="dxa" w:w="4968"/>
            <w:vAlign w:val="center"/>
          </w:tcPr>
          <w:p>
            <w:r/>
            <w:r>
              <w:rPr>
                <w:b w:val="0"/>
                <w:sz w:val="18"/>
              </w:rPr>
              <w:t>0.025</w:t>
            </w:r>
          </w:p>
        </w:tc>
      </w:tr>
      <w:tr>
        <w:tc>
          <w:tcPr>
            <w:tcW w:type="dxa" w:w="4968"/>
            <w:vAlign w:val="center"/>
          </w:tcPr>
          <w:p>
            <w:r/>
            <w:r>
              <w:rPr>
                <w:b w:val="0"/>
                <w:sz w:val="18"/>
              </w:rPr>
              <w:t>Adducts</w:t>
            </w:r>
          </w:p>
        </w:tc>
        <w:tc>
          <w:tcPr>
            <w:tcW w:type="dxa" w:w="4968"/>
            <w:vAlign w:val="center"/>
          </w:tcPr>
          <w:p>
            <w:r/>
            <w:r>
              <w:rPr>
                <w:b w:val="0"/>
                <w:sz w:val="18"/>
              </w:rPr>
              <w:t>[M+H]+, [M+NH4]+, [M+Na]+, [M+H-H2O]+</w:t>
            </w:r>
          </w:p>
        </w:tc>
      </w:tr>
      <w:tr>
        <w:tc>
          <w:tcPr>
            <w:tcW w:type="dxa" w:w="4968"/>
            <w:vAlign w:val="center"/>
          </w:tcPr>
          <w:p>
            <w:r/>
            <w:r>
              <w:rPr>
                <w:b w:val="0"/>
                <w:sz w:val="18"/>
              </w:rPr>
              <w:t>MSP library</w:t>
            </w:r>
          </w:p>
        </w:tc>
        <w:tc>
          <w:tcPr>
            <w:tcW w:type="dxa" w:w="4968"/>
            <w:vAlign w:val="center"/>
          </w:tcPr>
          <w:p>
            <w:r/>
            <w:r>
              <w:rPr>
                <w:b w:val="0"/>
                <w:sz w:val="18"/>
              </w:rPr>
              <w:t>MSDIAL-InsilicoMSMS-Lipids-Pos.msp</w:t>
            </w:r>
          </w:p>
        </w:tc>
      </w:tr>
      <w:tr>
        <w:tc>
          <w:tcPr>
            <w:tcW w:type="dxa" w:w="4968"/>
            <w:vAlign w:val="center"/>
          </w:tcPr>
          <w:p>
            <w:r/>
            <w:r>
              <w:rPr>
                <w:b w:val="0"/>
                <w:sz w:val="18"/>
              </w:rPr>
              <w:t>Identification cut-off (basic method file)</w:t>
            </w:r>
          </w:p>
        </w:tc>
        <w:tc>
          <w:tcPr>
            <w:tcW w:type="dxa" w:w="4968"/>
            <w:vAlign w:val="center"/>
          </w:tcPr>
          <w:p>
            <w:r/>
            <w:r>
              <w:rPr>
                <w:b w:val="0"/>
                <w:sz w:val="18"/>
              </w:rPr>
              <w:t>80</w:t>
            </w:r>
          </w:p>
        </w:tc>
      </w:tr>
      <w:tr>
        <w:tc>
          <w:tcPr>
            <w:tcW w:type="dxa" w:w="4968"/>
            <w:vAlign w:val="center"/>
          </w:tcPr>
          <w:p>
            <w:r/>
            <w:r>
              <w:rPr>
                <w:b w:val="0"/>
                <w:sz w:val="18"/>
              </w:rPr>
              <w:t>Minimum peak height</w:t>
            </w:r>
          </w:p>
        </w:tc>
        <w:tc>
          <w:tcPr>
            <w:tcW w:type="dxa" w:w="4968"/>
            <w:vAlign w:val="center"/>
          </w:tcPr>
          <w:p>
            <w:r/>
            <w:r>
              <w:rPr>
                <w:b w:val="0"/>
                <w:sz w:val="18"/>
              </w:rPr>
              <w:t>300</w:t>
            </w:r>
          </w:p>
        </w:tc>
      </w:tr>
      <w:tr>
        <w:tc>
          <w:tcPr>
            <w:tcW w:type="dxa" w:w="4968"/>
            <w:vAlign w:val="center"/>
          </w:tcPr>
          <w:p>
            <w:r/>
            <w:r>
              <w:rPr>
                <w:b w:val="0"/>
                <w:sz w:val="18"/>
              </w:rPr>
              <w:t>Minimum peak width</w:t>
            </w:r>
          </w:p>
        </w:tc>
        <w:tc>
          <w:tcPr>
            <w:tcW w:type="dxa" w:w="4968"/>
            <w:vAlign w:val="center"/>
          </w:tcPr>
          <w:p>
            <w:r/>
            <w:r>
              <w:rPr>
                <w:b w:val="0"/>
                <w:sz w:val="18"/>
              </w:rPr>
              <w:t>5</w:t>
            </w:r>
          </w:p>
        </w:tc>
      </w:tr>
      <w:tr>
        <w:tc>
          <w:tcPr>
            <w:tcW w:type="dxa" w:w="4968"/>
            <w:vAlign w:val="center"/>
          </w:tcPr>
          <w:p>
            <w:r/>
            <w:r>
              <w:rPr>
                <w:b w:val="0"/>
                <w:sz w:val="18"/>
              </w:rPr>
              <w:t>Average peak width</w:t>
            </w:r>
          </w:p>
        </w:tc>
        <w:tc>
          <w:tcPr>
            <w:tcW w:type="dxa" w:w="4968"/>
            <w:vAlign w:val="center"/>
          </w:tcPr>
          <w:p>
            <w:r/>
            <w:r>
              <w:rPr>
                <w:b w:val="0"/>
                <w:sz w:val="18"/>
              </w:rPr>
              <w:t>30</w:t>
            </w:r>
          </w:p>
        </w:tc>
      </w:tr>
      <w:tr>
        <w:tc>
          <w:tcPr>
            <w:tcW w:type="dxa" w:w="4968"/>
            <w:vAlign w:val="center"/>
          </w:tcPr>
          <w:p>
            <w:r/>
            <w:r>
              <w:rPr>
                <w:b w:val="0"/>
                <w:sz w:val="18"/>
              </w:rPr>
              <w:t>Mass slice width</w:t>
            </w:r>
          </w:p>
        </w:tc>
        <w:tc>
          <w:tcPr>
            <w:tcW w:type="dxa" w:w="4968"/>
            <w:vAlign w:val="center"/>
          </w:tcPr>
          <w:p>
            <w:r/>
            <w:r>
              <w:rPr>
                <w:b w:val="0"/>
                <w:sz w:val="18"/>
              </w:rPr>
              <w:t>0.05</w:t>
            </w:r>
          </w:p>
        </w:tc>
      </w:tr>
      <w:tr>
        <w:tc>
          <w:tcPr>
            <w:tcW w:type="dxa" w:w="4968"/>
            <w:vAlign w:val="center"/>
          </w:tcPr>
          <w:p>
            <w:r/>
            <w:r>
              <w:rPr>
                <w:b w:val="0"/>
                <w:sz w:val="18"/>
              </w:rPr>
              <w:t>RT range</w:t>
            </w:r>
          </w:p>
        </w:tc>
        <w:tc>
          <w:tcPr>
            <w:tcW w:type="dxa" w:w="4968"/>
            <w:vAlign w:val="center"/>
          </w:tcPr>
          <w:p>
            <w:r/>
            <w:r>
              <w:rPr>
                <w:b w:val="0"/>
                <w:sz w:val="18"/>
              </w:rPr>
              <w:t>0–100 min</w:t>
            </w:r>
          </w:p>
        </w:tc>
      </w:tr>
      <w:tr>
        <w:tc>
          <w:tcPr>
            <w:tcW w:type="dxa" w:w="4968"/>
            <w:vAlign w:val="center"/>
          </w:tcPr>
          <w:p>
            <w:r/>
            <w:r>
              <w:rPr>
                <w:b w:val="0"/>
                <w:sz w:val="18"/>
              </w:rPr>
              <w:t>MS1/MS2 mass range</w:t>
            </w:r>
          </w:p>
        </w:tc>
        <w:tc>
          <w:tcPr>
            <w:tcW w:type="dxa" w:w="4968"/>
            <w:vAlign w:val="center"/>
          </w:tcPr>
          <w:p>
            <w:r/>
            <w:r>
              <w:rPr>
                <w:b w:val="0"/>
                <w:sz w:val="18"/>
              </w:rPr>
              <w:t>0–2000</w:t>
            </w:r>
          </w:p>
        </w:tc>
      </w:tr>
      <w:tr>
        <w:tc>
          <w:tcPr>
            <w:tcW w:type="dxa" w:w="4968"/>
            <w:vAlign w:val="center"/>
          </w:tcPr>
          <w:p>
            <w:r/>
            <w:r>
              <w:rPr>
                <w:b w:val="0"/>
                <w:sz w:val="18"/>
              </w:rPr>
              <w:t>Maximum charge</w:t>
            </w:r>
          </w:p>
        </w:tc>
        <w:tc>
          <w:tcPr>
            <w:tcW w:type="dxa" w:w="4968"/>
            <w:vAlign w:val="center"/>
          </w:tcPr>
          <w:p>
            <w:r/>
            <w:r>
              <w:rPr>
                <w:b w:val="0"/>
                <w:sz w:val="18"/>
              </w:rPr>
              <w:t>2</w:t>
            </w:r>
          </w:p>
        </w:tc>
      </w:tr>
      <w:tr>
        <w:tc>
          <w:tcPr>
            <w:tcW w:type="dxa" w:w="4968"/>
            <w:vAlign w:val="center"/>
          </w:tcPr>
          <w:p>
            <w:r/>
            <w:r>
              <w:rPr>
                <w:b w:val="0"/>
                <w:sz w:val="18"/>
              </w:rPr>
              <w:t>Maximum isotopes</w:t>
            </w:r>
          </w:p>
        </w:tc>
        <w:tc>
          <w:tcPr>
            <w:tcW w:type="dxa" w:w="4968"/>
            <w:vAlign w:val="center"/>
          </w:tcPr>
          <w:p>
            <w:r/>
            <w:r>
              <w:rPr>
                <w:b w:val="0"/>
                <w:sz w:val="18"/>
              </w:rPr>
              <w:t>2</w:t>
            </w:r>
          </w:p>
        </w:tc>
      </w:tr>
      <w:tr>
        <w:tc>
          <w:tcPr>
            <w:tcW w:type="dxa" w:w="4968"/>
            <w:vAlign w:val="center"/>
          </w:tcPr>
          <w:p>
            <w:r/>
            <w:r>
              <w:rPr>
                <w:b w:val="0"/>
                <w:sz w:val="18"/>
              </w:rPr>
              <w:t>Smoothing</w:t>
            </w:r>
          </w:p>
        </w:tc>
        <w:tc>
          <w:tcPr>
            <w:tcW w:type="dxa" w:w="4968"/>
            <w:vAlign w:val="center"/>
          </w:tcPr>
          <w:p>
            <w:r/>
            <w:r>
              <w:rPr>
                <w:b w:val="0"/>
                <w:sz w:val="18"/>
              </w:rPr>
              <w:t>3</w:t>
            </w:r>
          </w:p>
        </w:tc>
      </w:tr>
      <w:tr>
        <w:tc>
          <w:tcPr>
            <w:tcW w:type="dxa" w:w="4968"/>
            <w:vAlign w:val="center"/>
          </w:tcPr>
          <w:p>
            <w:r/>
            <w:r>
              <w:rPr>
                <w:b w:val="0"/>
                <w:sz w:val="18"/>
              </w:rPr>
              <w:t>Deconvolution sigma</w:t>
            </w:r>
          </w:p>
        </w:tc>
        <w:tc>
          <w:tcPr>
            <w:tcW w:type="dxa" w:w="4968"/>
            <w:vAlign w:val="center"/>
          </w:tcPr>
          <w:p>
            <w:r/>
            <w:r>
              <w:rPr>
                <w:b w:val="0"/>
                <w:sz w:val="18"/>
              </w:rPr>
              <w:t>0.5</w:t>
            </w:r>
          </w:p>
        </w:tc>
      </w:tr>
      <w:tr>
        <w:tc>
          <w:tcPr>
            <w:tcW w:type="dxa" w:w="4968"/>
            <w:vAlign w:val="center"/>
          </w:tcPr>
          <w:p>
            <w:r/>
            <w:r>
              <w:rPr>
                <w:b w:val="0"/>
                <w:sz w:val="18"/>
              </w:rPr>
              <w:t>Threads</w:t>
            </w:r>
          </w:p>
        </w:tc>
        <w:tc>
          <w:tcPr>
            <w:tcW w:type="dxa" w:w="4968"/>
            <w:vAlign w:val="center"/>
          </w:tcPr>
          <w:p>
            <w:r/>
            <w:r>
              <w:rPr>
                <w:b w:val="0"/>
                <w:sz w:val="18"/>
              </w:rPr>
              <w:t>20</w:t>
            </w:r>
          </w:p>
        </w:tc>
      </w:tr>
      <w:tr>
        <w:tc>
          <w:tcPr>
            <w:tcW w:type="dxa" w:w="4968"/>
            <w:vAlign w:val="center"/>
          </w:tcPr>
          <w:p>
            <w:r/>
            <w:r>
              <w:rPr>
                <w:b w:val="0"/>
                <w:sz w:val="18"/>
              </w:rPr>
              <w:t>Solvent</w:t>
            </w:r>
          </w:p>
        </w:tc>
        <w:tc>
          <w:tcPr>
            <w:tcW w:type="dxa" w:w="4968"/>
            <w:vAlign w:val="center"/>
          </w:tcPr>
          <w:p>
            <w:r/>
            <w:r>
              <w:rPr>
                <w:b w:val="0"/>
                <w:sz w:val="18"/>
              </w:rPr>
              <w:t>HCOONH4</w:t>
            </w:r>
          </w:p>
        </w:tc>
      </w:tr>
    </w:tbl>
    <w:p>
      <w:pPr>
        <w:pStyle w:val="Heading2"/>
      </w:pPr>
      <w:r>
        <w:t>7.2 Negative mode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Parameter</w:t>
            </w:r>
          </w:p>
        </w:tc>
        <w:tc>
          <w:tcPr>
            <w:tcW w:type="dxa" w:w="4968"/>
            <w:vAlign w:val="center"/>
            <w:shd w:fill="D9EAF7"/>
          </w:tcPr>
          <w:p>
            <w:r/>
            <w:r>
              <w:rPr>
                <w:b/>
                <w:sz w:val="18"/>
              </w:rPr>
              <w:t>Value</w:t>
            </w:r>
          </w:p>
        </w:tc>
      </w:tr>
      <w:tr>
        <w:tc>
          <w:tcPr>
            <w:tcW w:type="dxa" w:w="4968"/>
            <w:vAlign w:val="center"/>
          </w:tcPr>
          <w:p>
            <w:r/>
            <w:r>
              <w:rPr>
                <w:b w:val="0"/>
                <w:sz w:val="18"/>
              </w:rPr>
              <w:t>Data type</w:t>
            </w:r>
          </w:p>
        </w:tc>
        <w:tc>
          <w:tcPr>
            <w:tcW w:type="dxa" w:w="4968"/>
            <w:vAlign w:val="center"/>
          </w:tcPr>
          <w:p>
            <w:r/>
            <w:r>
              <w:rPr>
                <w:b w:val="0"/>
                <w:sz w:val="18"/>
              </w:rPr>
              <w:t>Centroid</w:t>
            </w:r>
          </w:p>
        </w:tc>
      </w:tr>
      <w:tr>
        <w:tc>
          <w:tcPr>
            <w:tcW w:type="dxa" w:w="4968"/>
            <w:vAlign w:val="center"/>
          </w:tcPr>
          <w:p>
            <w:r/>
            <w:r>
              <w:rPr>
                <w:b w:val="0"/>
                <w:sz w:val="18"/>
              </w:rPr>
              <w:t>Ion mode</w:t>
            </w:r>
          </w:p>
        </w:tc>
        <w:tc>
          <w:tcPr>
            <w:tcW w:type="dxa" w:w="4968"/>
            <w:vAlign w:val="center"/>
          </w:tcPr>
          <w:p>
            <w:r/>
            <w:r>
              <w:rPr>
                <w:b w:val="0"/>
                <w:sz w:val="18"/>
              </w:rPr>
              <w:t>Negative</w:t>
            </w:r>
          </w:p>
        </w:tc>
      </w:tr>
      <w:tr>
        <w:tc>
          <w:tcPr>
            <w:tcW w:type="dxa" w:w="4968"/>
            <w:vAlign w:val="center"/>
          </w:tcPr>
          <w:p>
            <w:r/>
            <w:r>
              <w:rPr>
                <w:b w:val="0"/>
                <w:sz w:val="18"/>
              </w:rPr>
              <w:t>Target omics</w:t>
            </w:r>
          </w:p>
        </w:tc>
        <w:tc>
          <w:tcPr>
            <w:tcW w:type="dxa" w:w="4968"/>
            <w:vAlign w:val="center"/>
          </w:tcPr>
          <w:p>
            <w:r/>
            <w:r>
              <w:rPr>
                <w:b w:val="0"/>
                <w:sz w:val="18"/>
              </w:rPr>
              <w:t>Lipidomics</w:t>
            </w:r>
          </w:p>
        </w:tc>
      </w:tr>
      <w:tr>
        <w:tc>
          <w:tcPr>
            <w:tcW w:type="dxa" w:w="4968"/>
            <w:vAlign w:val="center"/>
          </w:tcPr>
          <w:p>
            <w:r/>
            <w:r>
              <w:rPr>
                <w:b w:val="0"/>
                <w:sz w:val="18"/>
              </w:rPr>
              <w:t>Ionization</w:t>
            </w:r>
          </w:p>
        </w:tc>
        <w:tc>
          <w:tcPr>
            <w:tcW w:type="dxa" w:w="4968"/>
            <w:vAlign w:val="center"/>
          </w:tcPr>
          <w:p>
            <w:r/>
            <w:r>
              <w:rPr>
                <w:b w:val="0"/>
                <w:sz w:val="18"/>
              </w:rPr>
              <w:t>ESI</w:t>
            </w:r>
          </w:p>
        </w:tc>
      </w:tr>
      <w:tr>
        <w:tc>
          <w:tcPr>
            <w:tcW w:type="dxa" w:w="4968"/>
            <w:vAlign w:val="center"/>
          </w:tcPr>
          <w:p>
            <w:r/>
            <w:r>
              <w:rPr>
                <w:b w:val="0"/>
                <w:sz w:val="18"/>
              </w:rPr>
              <w:t>MS1 tolerance</w:t>
            </w:r>
          </w:p>
        </w:tc>
        <w:tc>
          <w:tcPr>
            <w:tcW w:type="dxa" w:w="4968"/>
            <w:vAlign w:val="center"/>
          </w:tcPr>
          <w:p>
            <w:r/>
            <w:r>
              <w:rPr>
                <w:b w:val="0"/>
                <w:sz w:val="18"/>
              </w:rPr>
              <w:t>0.01</w:t>
            </w:r>
          </w:p>
        </w:tc>
      </w:tr>
      <w:tr>
        <w:tc>
          <w:tcPr>
            <w:tcW w:type="dxa" w:w="4968"/>
            <w:vAlign w:val="center"/>
          </w:tcPr>
          <w:p>
            <w:r/>
            <w:r>
              <w:rPr>
                <w:b w:val="0"/>
                <w:sz w:val="18"/>
              </w:rPr>
              <w:t>MS2 tolerance</w:t>
            </w:r>
          </w:p>
        </w:tc>
        <w:tc>
          <w:tcPr>
            <w:tcW w:type="dxa" w:w="4968"/>
            <w:vAlign w:val="center"/>
          </w:tcPr>
          <w:p>
            <w:r/>
            <w:r>
              <w:rPr>
                <w:b w:val="0"/>
                <w:sz w:val="18"/>
              </w:rPr>
              <w:t>0.025</w:t>
            </w:r>
          </w:p>
        </w:tc>
      </w:tr>
      <w:tr>
        <w:tc>
          <w:tcPr>
            <w:tcW w:type="dxa" w:w="4968"/>
            <w:vAlign w:val="center"/>
          </w:tcPr>
          <w:p>
            <w:r/>
            <w:r>
              <w:rPr>
                <w:b w:val="0"/>
                <w:sz w:val="18"/>
              </w:rPr>
              <w:t>Adducts</w:t>
            </w:r>
          </w:p>
        </w:tc>
        <w:tc>
          <w:tcPr>
            <w:tcW w:type="dxa" w:w="4968"/>
            <w:vAlign w:val="center"/>
          </w:tcPr>
          <w:p>
            <w:r/>
            <w:r>
              <w:rPr>
                <w:b w:val="0"/>
                <w:sz w:val="18"/>
              </w:rPr>
              <w:t>[M-H]-, [M+HCOO]-</w:t>
            </w:r>
          </w:p>
        </w:tc>
      </w:tr>
      <w:tr>
        <w:tc>
          <w:tcPr>
            <w:tcW w:type="dxa" w:w="4968"/>
            <w:vAlign w:val="center"/>
          </w:tcPr>
          <w:p>
            <w:r/>
            <w:r>
              <w:rPr>
                <w:b w:val="0"/>
                <w:sz w:val="18"/>
              </w:rPr>
              <w:t>MSP library</w:t>
            </w:r>
          </w:p>
        </w:tc>
        <w:tc>
          <w:tcPr>
            <w:tcW w:type="dxa" w:w="4968"/>
            <w:vAlign w:val="center"/>
          </w:tcPr>
          <w:p>
            <w:r/>
            <w:r>
              <w:rPr>
                <w:b w:val="0"/>
                <w:sz w:val="18"/>
              </w:rPr>
              <w:t>MSDIAL-InsilicoMSMS-Lipids-Neg.msp</w:t>
            </w:r>
          </w:p>
        </w:tc>
      </w:tr>
      <w:tr>
        <w:tc>
          <w:tcPr>
            <w:tcW w:type="dxa" w:w="4968"/>
            <w:vAlign w:val="center"/>
          </w:tcPr>
          <w:p>
            <w:r/>
            <w:r>
              <w:rPr>
                <w:b w:val="0"/>
                <w:sz w:val="18"/>
              </w:rPr>
              <w:t>Minimum peak height</w:t>
            </w:r>
          </w:p>
        </w:tc>
        <w:tc>
          <w:tcPr>
            <w:tcW w:type="dxa" w:w="4968"/>
            <w:vAlign w:val="center"/>
          </w:tcPr>
          <w:p>
            <w:r/>
            <w:r>
              <w:rPr>
                <w:b w:val="0"/>
                <w:sz w:val="18"/>
              </w:rPr>
              <w:t>300</w:t>
            </w:r>
          </w:p>
        </w:tc>
      </w:tr>
      <w:tr>
        <w:tc>
          <w:tcPr>
            <w:tcW w:type="dxa" w:w="4968"/>
            <w:vAlign w:val="center"/>
          </w:tcPr>
          <w:p>
            <w:r/>
            <w:r>
              <w:rPr>
                <w:b w:val="0"/>
                <w:sz w:val="18"/>
              </w:rPr>
              <w:t>Minimum peak width</w:t>
            </w:r>
          </w:p>
        </w:tc>
        <w:tc>
          <w:tcPr>
            <w:tcW w:type="dxa" w:w="4968"/>
            <w:vAlign w:val="center"/>
          </w:tcPr>
          <w:p>
            <w:r/>
            <w:r>
              <w:rPr>
                <w:b w:val="0"/>
                <w:sz w:val="18"/>
              </w:rPr>
              <w:t>5</w:t>
            </w:r>
          </w:p>
        </w:tc>
      </w:tr>
      <w:tr>
        <w:tc>
          <w:tcPr>
            <w:tcW w:type="dxa" w:w="4968"/>
            <w:vAlign w:val="center"/>
          </w:tcPr>
          <w:p>
            <w:r/>
            <w:r>
              <w:rPr>
                <w:b w:val="0"/>
                <w:sz w:val="18"/>
              </w:rPr>
              <w:t>Average peak width</w:t>
            </w:r>
          </w:p>
        </w:tc>
        <w:tc>
          <w:tcPr>
            <w:tcW w:type="dxa" w:w="4968"/>
            <w:vAlign w:val="center"/>
          </w:tcPr>
          <w:p>
            <w:r/>
            <w:r>
              <w:rPr>
                <w:b w:val="0"/>
                <w:sz w:val="18"/>
              </w:rPr>
              <w:t>30</w:t>
            </w:r>
          </w:p>
        </w:tc>
      </w:tr>
      <w:tr>
        <w:tc>
          <w:tcPr>
            <w:tcW w:type="dxa" w:w="4968"/>
            <w:vAlign w:val="center"/>
          </w:tcPr>
          <w:p>
            <w:r/>
            <w:r>
              <w:rPr>
                <w:b w:val="0"/>
                <w:sz w:val="18"/>
              </w:rPr>
              <w:t>Mass slice width</w:t>
            </w:r>
          </w:p>
        </w:tc>
        <w:tc>
          <w:tcPr>
            <w:tcW w:type="dxa" w:w="4968"/>
            <w:vAlign w:val="center"/>
          </w:tcPr>
          <w:p>
            <w:r/>
            <w:r>
              <w:rPr>
                <w:b w:val="0"/>
                <w:sz w:val="18"/>
              </w:rPr>
              <w:t>0.05</w:t>
            </w:r>
          </w:p>
        </w:tc>
      </w:tr>
      <w:tr>
        <w:tc>
          <w:tcPr>
            <w:tcW w:type="dxa" w:w="4968"/>
            <w:vAlign w:val="center"/>
          </w:tcPr>
          <w:p>
            <w:r/>
            <w:r>
              <w:rPr>
                <w:b w:val="0"/>
                <w:sz w:val="18"/>
              </w:rPr>
              <w:t>RT range</w:t>
            </w:r>
          </w:p>
        </w:tc>
        <w:tc>
          <w:tcPr>
            <w:tcW w:type="dxa" w:w="4968"/>
            <w:vAlign w:val="center"/>
          </w:tcPr>
          <w:p>
            <w:r/>
            <w:r>
              <w:rPr>
                <w:b w:val="0"/>
                <w:sz w:val="18"/>
              </w:rPr>
              <w:t>0–100 min</w:t>
            </w:r>
          </w:p>
        </w:tc>
      </w:tr>
      <w:tr>
        <w:tc>
          <w:tcPr>
            <w:tcW w:type="dxa" w:w="4968"/>
            <w:vAlign w:val="center"/>
          </w:tcPr>
          <w:p>
            <w:r/>
            <w:r>
              <w:rPr>
                <w:b w:val="0"/>
                <w:sz w:val="18"/>
              </w:rPr>
              <w:t>MS1/MS2 mass range</w:t>
            </w:r>
          </w:p>
        </w:tc>
        <w:tc>
          <w:tcPr>
            <w:tcW w:type="dxa" w:w="4968"/>
            <w:vAlign w:val="center"/>
          </w:tcPr>
          <w:p>
            <w:r/>
            <w:r>
              <w:rPr>
                <w:b w:val="0"/>
                <w:sz w:val="18"/>
              </w:rPr>
              <w:t>0–2000</w:t>
            </w:r>
          </w:p>
        </w:tc>
      </w:tr>
      <w:tr>
        <w:tc>
          <w:tcPr>
            <w:tcW w:type="dxa" w:w="4968"/>
            <w:vAlign w:val="center"/>
          </w:tcPr>
          <w:p>
            <w:r/>
            <w:r>
              <w:rPr>
                <w:b w:val="0"/>
                <w:sz w:val="18"/>
              </w:rPr>
              <w:t>Maximum charge</w:t>
            </w:r>
          </w:p>
        </w:tc>
        <w:tc>
          <w:tcPr>
            <w:tcW w:type="dxa" w:w="4968"/>
            <w:vAlign w:val="center"/>
          </w:tcPr>
          <w:p>
            <w:r/>
            <w:r>
              <w:rPr>
                <w:b w:val="0"/>
                <w:sz w:val="18"/>
              </w:rPr>
              <w:t>2</w:t>
            </w:r>
          </w:p>
        </w:tc>
      </w:tr>
      <w:tr>
        <w:tc>
          <w:tcPr>
            <w:tcW w:type="dxa" w:w="4968"/>
            <w:vAlign w:val="center"/>
          </w:tcPr>
          <w:p>
            <w:r/>
            <w:r>
              <w:rPr>
                <w:b w:val="0"/>
                <w:sz w:val="18"/>
              </w:rPr>
              <w:t>Maximum isotopes</w:t>
            </w:r>
          </w:p>
        </w:tc>
        <w:tc>
          <w:tcPr>
            <w:tcW w:type="dxa" w:w="4968"/>
            <w:vAlign w:val="center"/>
          </w:tcPr>
          <w:p>
            <w:r/>
            <w:r>
              <w:rPr>
                <w:b w:val="0"/>
                <w:sz w:val="18"/>
              </w:rPr>
              <w:t>2</w:t>
            </w:r>
          </w:p>
        </w:tc>
      </w:tr>
      <w:tr>
        <w:tc>
          <w:tcPr>
            <w:tcW w:type="dxa" w:w="4968"/>
            <w:vAlign w:val="center"/>
          </w:tcPr>
          <w:p>
            <w:r/>
            <w:r>
              <w:rPr>
                <w:b w:val="0"/>
                <w:sz w:val="18"/>
              </w:rPr>
              <w:t>Smoothing</w:t>
            </w:r>
          </w:p>
        </w:tc>
        <w:tc>
          <w:tcPr>
            <w:tcW w:type="dxa" w:w="4968"/>
            <w:vAlign w:val="center"/>
          </w:tcPr>
          <w:p>
            <w:r/>
            <w:r>
              <w:rPr>
                <w:b w:val="0"/>
                <w:sz w:val="18"/>
              </w:rPr>
              <w:t>3</w:t>
            </w:r>
          </w:p>
        </w:tc>
      </w:tr>
      <w:tr>
        <w:tc>
          <w:tcPr>
            <w:tcW w:type="dxa" w:w="4968"/>
            <w:vAlign w:val="center"/>
          </w:tcPr>
          <w:p>
            <w:r/>
            <w:r>
              <w:rPr>
                <w:b w:val="0"/>
                <w:sz w:val="18"/>
              </w:rPr>
              <w:t>Deconvolution sigma</w:t>
            </w:r>
          </w:p>
        </w:tc>
        <w:tc>
          <w:tcPr>
            <w:tcW w:type="dxa" w:w="4968"/>
            <w:vAlign w:val="center"/>
          </w:tcPr>
          <w:p>
            <w:r/>
            <w:r>
              <w:rPr>
                <w:b w:val="0"/>
                <w:sz w:val="18"/>
              </w:rPr>
              <w:t>0.5</w:t>
            </w:r>
          </w:p>
        </w:tc>
      </w:tr>
      <w:tr>
        <w:tc>
          <w:tcPr>
            <w:tcW w:type="dxa" w:w="4968"/>
            <w:vAlign w:val="center"/>
          </w:tcPr>
          <w:p>
            <w:r/>
            <w:r>
              <w:rPr>
                <w:b w:val="0"/>
                <w:sz w:val="18"/>
              </w:rPr>
              <w:t>Threads</w:t>
            </w:r>
          </w:p>
        </w:tc>
        <w:tc>
          <w:tcPr>
            <w:tcW w:type="dxa" w:w="4968"/>
            <w:vAlign w:val="center"/>
          </w:tcPr>
          <w:p>
            <w:r/>
            <w:r>
              <w:rPr>
                <w:b w:val="0"/>
                <w:sz w:val="18"/>
              </w:rPr>
              <w:t>20</w:t>
            </w:r>
          </w:p>
        </w:tc>
      </w:tr>
      <w:tr>
        <w:tc>
          <w:tcPr>
            <w:tcW w:type="dxa" w:w="4968"/>
            <w:vAlign w:val="center"/>
          </w:tcPr>
          <w:p>
            <w:r/>
            <w:r>
              <w:rPr>
                <w:b w:val="0"/>
                <w:sz w:val="18"/>
              </w:rPr>
              <w:t>Solvent</w:t>
            </w:r>
          </w:p>
        </w:tc>
        <w:tc>
          <w:tcPr>
            <w:tcW w:type="dxa" w:w="4968"/>
            <w:vAlign w:val="center"/>
          </w:tcPr>
          <w:p>
            <w:r/>
            <w:r>
              <w:rPr>
                <w:b w:val="0"/>
                <w:sz w:val="18"/>
              </w:rPr>
              <w:t>HCOONH4</w:t>
            </w:r>
          </w:p>
        </w:tc>
      </w:tr>
    </w:tbl>
    <w:p>
      <w:r>
        <w:t>The detailed final parameter files are retained separately in the project repository as msdial5_lipidomics_POS_MSP.txt and msdial5_lipidomics_NEG_MSP.txt. They contain the complete searched lipid-class lists and additional annotation/alignment/filtering settings.</w:t>
      </w:r>
    </w:p>
    <w:p>
      <w:pPr>
        <w:pStyle w:val="Heading1"/>
      </w:pPr>
      <w:r>
        <w:t>8. Command-Line Execution</w:t>
      </w:r>
    </w:p>
    <w:p>
      <w:r>
        <w:t>The actual command history shows an initial attempt using lcmsdda, followed by the final lcms command supported by the installed console.</w:t>
      </w:r>
    </w:p>
    <w:p>
      <w:pPr>
        <w:spacing w:before="60" w:after="120"/>
        <w:ind w:left="360" w:right="360"/>
      </w:pPr>
      <w:r>
        <w:rPr>
          <w:rFonts w:ascii="Consolas" w:hAnsi="Consolas"/>
          <w:sz w:val="17"/>
        </w:rPr>
        <w:t>./MsdialConsoleApp lcmsdda -i ./data/mzml_pos/ -o ./results_pos/ -m param_pos.txt -p</w:t>
        <w:br/>
        <w:t>chmod +x MSDIALCUI</w:t>
        <w:br/>
        <w:t>./MSDIALCUI lcmsdda -i ./data/mzml_pos/ -o ./results_pos/ -m param_pos.txt -p</w:t>
        <w:br/>
        <w:t>./MSDIALCUI lcms -i ./data/mzml_pos/ -o ./results_pos/ -m param_pos.txt -p</w:t>
      </w:r>
    </w:p>
    <w:p>
      <w:r>
        <w:t>The installed --help output verifies lcms as a supported analysis type. The final organized project is designed to process positive and negative inputs separately.</w:t>
      </w:r>
    </w:p>
    <w:p>
      <w:pPr>
        <w:spacing w:before="60" w:after="120"/>
        <w:ind w:left="360" w:right="360"/>
      </w:pPr>
      <w:r>
        <w:rPr>
          <w:rFonts w:ascii="Consolas" w:hAnsi="Consolas"/>
          <w:sz w:val="17"/>
        </w:rPr>
        <w:t># Positive mode</w:t>
        <w:br/>
        <w:t>cd ~/Lipidomics</w:t>
        <w:br/>
        <w:t>./MSDIALCUI lcms -i ./data/mzml_pos/ -o ./results_pos/ -m param_pos.txt -p</w:t>
        <w:br/>
        <w:br/>
        <w:t># Negative mode: use the negative-mode method file and negative input/output directories</w:t>
        <w:br/>
        <w:t>./MSDIALCUI lcms -i ./data/mzml_neg/ -o ./results_neg/ -m param_neg.txt -p</w:t>
      </w:r>
    </w:p>
    <w:p>
      <w:r>
        <w:rPr>
          <w:b/>
        </w:rPr>
        <w:t xml:space="preserve">Important: </w:t>
      </w:r>
      <w:r>
        <w:t>The positive command above is the command explicitly recorded in the command history. The negative command follows the same verified console syntax with polarity-specific input, output, and method files.</w:t>
      </w:r>
    </w:p>
    <w:p>
      <w:pPr>
        <w:pStyle w:val="Heading1"/>
      </w:pPr>
      <w:r>
        <w:t>9. mzML Input Verification and Troubleshooting</w:t>
      </w:r>
    </w:p>
    <w:p>
      <w:r>
        <w:t>During workflow development, the mzML files were inspected from the Ubuntu environment. The command history records checks of spectrum counts, MS-level annotations, and positive/negative scan descriptors, as well as extraction of a single scan with MSConvert.</w:t>
      </w:r>
    </w:p>
    <w:p>
      <w:pPr>
        <w:spacing w:before="60" w:after="120"/>
        <w:ind w:left="360" w:right="360"/>
      </w:pPr>
      <w:r>
        <w:rPr>
          <w:rFonts w:ascii="Consolas" w:hAnsi="Consolas"/>
          <w:sz w:val="17"/>
        </w:rPr>
        <w:t>grep -m1 -A1 "spectrumList count" NewTrialMay19_MZML/VZ0000162_PL_Pos.mzML</w:t>
        <w:br/>
        <w:t>grep -m1 -A1 "spectrumList count" NewTrialMay19_MZML/VZ0000162_PL_Neg.mzML</w:t>
        <w:br/>
        <w:br/>
        <w:t>grep -i "centroid spectrum" NewTrialMay19_MZML/VZ0000162_PL_Pos.mzML | head</w:t>
        <w:br/>
        <w:t>grep -i "profile spectrum" NewTrialMay19_MZML/VZ0000162_PL_Pos.mzML | head</w:t>
        <w:br/>
        <w:br/>
        <w:t>grep 'name="ms level"' NewTrialMay19_MZML/VZ0000162_PL_Pos.mzML | head</w:t>
        <w:br/>
        <w:t>grep 'value="2"' NewTrialMay19_MZML/VZ0000162_PL_Pos.mzML | wc -l</w:t>
        <w:br/>
        <w:br/>
        <w:t>grep "&lt;spectrum " NewTrialMay19_MZML/VZ0000162_PL_Pos.mzML | wc -l</w:t>
        <w:br/>
        <w:br/>
        <w:t>msconvert NewTrialMay19_MZML/VZ0000162_PL_Pos.mzML   --filter "scanNumber [1 1]" --64 --outfile spectrum.txt</w:t>
      </w:r>
    </w:p>
    <w:p>
      <w:r>
        <w:rPr>
          <w:b/>
        </w:rPr>
        <w:t xml:space="preserve">Purpose of checks: </w:t>
      </w:r>
      <w:r>
        <w:t>These checks were used to verify the mzML structure and MS-level content when diagnosing processing/annotation behavior.</w:t>
      </w:r>
    </w:p>
    <w:p>
      <w:pPr>
        <w:pStyle w:val="Heading1"/>
      </w:pPr>
      <w:r>
        <w:t>10. MS-DIAL Output Files</w:t>
      </w:r>
    </w:p>
    <w:p>
      <w:r>
        <w:t>The validated run produced standard MS-DIAL project/result files, including mdproject, mdpeak, mdmsp, alignment-related files, and mzTabM output. The organized project then used the .mdpeak files as the source for Python-based summary generation.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Output type</w:t>
            </w:r>
          </w:p>
        </w:tc>
        <w:tc>
          <w:tcPr>
            <w:tcW w:type="dxa" w:w="4968"/>
            <w:vAlign w:val="center"/>
            <w:shd w:fill="D9EAF7"/>
          </w:tcPr>
          <w:p>
            <w:r/>
            <w:r>
              <w:rPr>
                <w:b/>
                <w:sz w:val="18"/>
              </w:rPr>
              <w:t>Purpose</w:t>
            </w:r>
          </w:p>
        </w:tc>
      </w:tr>
      <w:tr>
        <w:tc>
          <w:tcPr>
            <w:tcW w:type="dxa" w:w="4968"/>
            <w:vAlign w:val="center"/>
          </w:tcPr>
          <w:p>
            <w:r/>
            <w:r>
              <w:rPr>
                <w:b w:val="0"/>
                <w:sz w:val="18"/>
              </w:rPr>
              <w:t>.mdproject</w:t>
            </w:r>
          </w:p>
        </w:tc>
        <w:tc>
          <w:tcPr>
            <w:tcW w:type="dxa" w:w="4968"/>
            <w:vAlign w:val="center"/>
          </w:tcPr>
          <w:p>
            <w:r/>
            <w:r>
              <w:rPr>
                <w:b w:val="0"/>
                <w:sz w:val="18"/>
              </w:rPr>
              <w:t>MS-DIAL project information</w:t>
            </w:r>
          </w:p>
        </w:tc>
      </w:tr>
      <w:tr>
        <w:tc>
          <w:tcPr>
            <w:tcW w:type="dxa" w:w="4968"/>
            <w:vAlign w:val="center"/>
          </w:tcPr>
          <w:p>
            <w:r/>
            <w:r>
              <w:rPr>
                <w:b w:val="0"/>
                <w:sz w:val="18"/>
              </w:rPr>
              <w:t>.mdpeak</w:t>
            </w:r>
          </w:p>
        </w:tc>
        <w:tc>
          <w:tcPr>
            <w:tcW w:type="dxa" w:w="4968"/>
            <w:vAlign w:val="center"/>
          </w:tcPr>
          <w:p>
            <w:r/>
            <w:r>
              <w:rPr>
                <w:b w:val="0"/>
                <w:sz w:val="18"/>
              </w:rPr>
              <w:t>Peak/feature table used for downstream summary extraction</w:t>
            </w:r>
          </w:p>
        </w:tc>
      </w:tr>
      <w:tr>
        <w:tc>
          <w:tcPr>
            <w:tcW w:type="dxa" w:w="4968"/>
            <w:vAlign w:val="center"/>
          </w:tcPr>
          <w:p>
            <w:r/>
            <w:r>
              <w:rPr>
                <w:b w:val="0"/>
                <w:sz w:val="18"/>
              </w:rPr>
              <w:t>.mdmsp</w:t>
            </w:r>
          </w:p>
        </w:tc>
        <w:tc>
          <w:tcPr>
            <w:tcW w:type="dxa" w:w="4968"/>
            <w:vAlign w:val="center"/>
          </w:tcPr>
          <w:p>
            <w:r/>
            <w:r>
              <w:rPr>
                <w:b w:val="0"/>
                <w:sz w:val="18"/>
              </w:rPr>
              <w:t>MS/MS spectral information</w:t>
            </w:r>
          </w:p>
        </w:tc>
      </w:tr>
      <w:tr>
        <w:tc>
          <w:tcPr>
            <w:tcW w:type="dxa" w:w="4968"/>
            <w:vAlign w:val="center"/>
          </w:tcPr>
          <w:p>
            <w:r/>
            <w:r>
              <w:rPr>
                <w:b w:val="0"/>
                <w:sz w:val="18"/>
              </w:rPr>
              <w:t>.mdalign</w:t>
            </w:r>
          </w:p>
        </w:tc>
        <w:tc>
          <w:tcPr>
            <w:tcW w:type="dxa" w:w="4968"/>
            <w:vAlign w:val="center"/>
          </w:tcPr>
          <w:p>
            <w:r/>
            <w:r>
              <w:rPr>
                <w:b w:val="0"/>
                <w:sz w:val="18"/>
              </w:rPr>
              <w:t>Alignment result file when generated</w:t>
            </w:r>
          </w:p>
        </w:tc>
      </w:tr>
      <w:tr>
        <w:tc>
          <w:tcPr>
            <w:tcW w:type="dxa" w:w="4968"/>
            <w:vAlign w:val="center"/>
          </w:tcPr>
          <w:p>
            <w:r/>
            <w:r>
              <w:rPr>
                <w:b w:val="0"/>
                <w:sz w:val="18"/>
              </w:rPr>
              <w:t>.mzTabM</w:t>
            </w:r>
          </w:p>
        </w:tc>
        <w:tc>
          <w:tcPr>
            <w:tcW w:type="dxa" w:w="4968"/>
            <w:vAlign w:val="center"/>
          </w:tcPr>
          <w:p>
            <w:r/>
            <w:r>
              <w:rPr>
                <w:b w:val="0"/>
                <w:sz w:val="18"/>
              </w:rPr>
              <w:t>Molecular feature/metabolomics result export</w:t>
            </w:r>
          </w:p>
        </w:tc>
      </w:tr>
      <w:tr>
        <w:tc>
          <w:tcPr>
            <w:tcW w:type="dxa" w:w="4968"/>
            <w:vAlign w:val="center"/>
          </w:tcPr>
          <w:p>
            <w:r/>
            <w:r>
              <w:rPr>
                <w:b w:val="0"/>
                <w:sz w:val="18"/>
              </w:rPr>
              <w:t>TSV summary files</w:t>
            </w:r>
          </w:p>
        </w:tc>
        <w:tc>
          <w:tcPr>
            <w:tcW w:type="dxa" w:w="4968"/>
            <w:vAlign w:val="center"/>
          </w:tcPr>
          <w:p>
            <w:r/>
            <w:r>
              <w:rPr>
                <w:b w:val="0"/>
                <w:sz w:val="18"/>
              </w:rPr>
              <w:t>Human-readable post-processing summaries</w:t>
            </w:r>
          </w:p>
        </w:tc>
      </w:tr>
    </w:tbl>
    <w:p>
      <w:pPr>
        <w:pStyle w:val="Heading1"/>
      </w:pPr>
      <w:r>
        <w:t>11. Python Post-Processing</w:t>
      </w:r>
    </w:p>
    <w:p>
      <w:r>
        <w:t>The script summarize_msdial.py reads polarity-specific .mdpeak files and generates three types of summaries: sample-level feature/matching statistics, MS/MS-supported annotation tables, and lipid-class distributions.</w:t>
      </w:r>
    </w:p>
    <w:p>
      <w:pPr>
        <w:pStyle w:val="Heading2"/>
      </w:pPr>
      <w:r>
        <w:t>11.1 Logic</w:t>
      </w:r>
    </w:p>
    <w:p>
      <w:pPr>
        <w:spacing w:before="60" w:after="120"/>
        <w:ind w:left="360" w:right="360"/>
      </w:pPr>
      <w:r>
        <w:rPr>
          <w:rFonts w:ascii="Consolas" w:hAnsi="Consolas"/>
          <w:sz w:val="17"/>
        </w:rPr>
        <w:t>For each .mdpeak file:</w:t>
        <w:br/>
        <w:t>1. Count all features.</w:t>
        <w:br/>
        <w:t>2. Count rows where "m/z matched" == True.</w:t>
        <w:br/>
        <w:t>3. Count rows where "MS/MS matched" == True.</w:t>
        <w:br/>
        <w:t>4. Count rows where both are True.</w:t>
        <w:br/>
        <w:t>5. For rows with both matches, extract annotation fields.</w:t>
        <w:br/>
        <w:t>6. Extract the first ontology component as the lipid class.</w:t>
        <w:br/>
        <w:t>7. Write sample-level and lipid-class TSV files.</w:t>
      </w:r>
    </w:p>
    <w:p>
      <w:pPr>
        <w:pStyle w:val="Heading2"/>
      </w:pPr>
      <w:r>
        <w:t>11.2 Output locations</w:t>
      </w:r>
    </w:p>
    <w:p>
      <w:pPr>
        <w:spacing w:before="60" w:after="120"/>
        <w:ind w:left="360" w:right="360"/>
      </w:pPr>
      <w:r>
        <w:rPr>
          <w:rFonts w:ascii="Consolas" w:hAnsi="Consolas"/>
          <w:sz w:val="17"/>
        </w:rPr>
        <w:t>~/Lipidomics/project/results_summary/</w:t>
        <w:br/>
        <w:t xml:space="preserve">    MSDIAL_sample_summary.tsv</w:t>
        <w:br/>
        <w:t xml:space="preserve">    MSDIAL_MSMS_annotations.tsv</w:t>
        <w:br/>
        <w:t xml:space="preserve">    &lt;sample&gt;_lipid_classes.tsv</w:t>
      </w:r>
    </w:p>
    <w:p>
      <w:r>
        <w:rPr>
          <w:b/>
        </w:rPr>
        <w:t xml:space="preserve">Important implementation detail: </w:t>
      </w:r>
      <w:r>
        <w:t>The script only adds a feature to the MS/MS annotation table when both m/z matching and MS/MS matching are True.</w:t>
      </w:r>
    </w:p>
    <w:p>
      <w:pPr>
        <w:pStyle w:val="Heading1"/>
      </w:pPr>
      <w:r>
        <w:t>12. Validation Results — VZ0000099</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Polarity</w:t>
            </w:r>
          </w:p>
        </w:tc>
        <w:tc>
          <w:tcPr>
            <w:tcW w:type="dxa" w:w="1419"/>
            <w:vAlign w:val="center"/>
            <w:shd w:fill="D9EAF7"/>
          </w:tcPr>
          <w:p>
            <w:r/>
            <w:r>
              <w:rPr>
                <w:b/>
                <w:sz w:val="18"/>
              </w:rPr>
              <w:t>Total features</w:t>
            </w:r>
          </w:p>
        </w:tc>
        <w:tc>
          <w:tcPr>
            <w:tcW w:type="dxa" w:w="1419"/>
            <w:vAlign w:val="center"/>
            <w:shd w:fill="D9EAF7"/>
          </w:tcPr>
          <w:p>
            <w:r/>
            <w:r>
              <w:rPr>
                <w:b/>
                <w:sz w:val="18"/>
              </w:rPr>
              <w:t>m/z matched</w:t>
            </w:r>
          </w:p>
        </w:tc>
        <w:tc>
          <w:tcPr>
            <w:tcW w:type="dxa" w:w="1419"/>
            <w:vAlign w:val="center"/>
            <w:shd w:fill="D9EAF7"/>
          </w:tcPr>
          <w:p>
            <w:r/>
            <w:r>
              <w:rPr>
                <w:b/>
                <w:sz w:val="18"/>
              </w:rPr>
              <w:t>MS/MS matched</w:t>
            </w:r>
          </w:p>
        </w:tc>
        <w:tc>
          <w:tcPr>
            <w:tcW w:type="dxa" w:w="1419"/>
            <w:vAlign w:val="center"/>
            <w:shd w:fill="D9EAF7"/>
          </w:tcPr>
          <w:p>
            <w:r/>
            <w:r>
              <w:rPr>
                <w:b/>
                <w:sz w:val="18"/>
              </w:rPr>
              <w:t>Both matched</w:t>
            </w:r>
          </w:p>
        </w:tc>
        <w:tc>
          <w:tcPr>
            <w:tcW w:type="dxa" w:w="1419"/>
            <w:vAlign w:val="center"/>
            <w:shd w:fill="D9EAF7"/>
          </w:tcPr>
          <w:p>
            <w:r/>
            <w:r>
              <w:rPr>
                <w:b/>
                <w:sz w:val="18"/>
              </w:rPr>
              <w:t>m/z match %</w:t>
            </w:r>
          </w:p>
        </w:tc>
        <w:tc>
          <w:tcPr>
            <w:tcW w:type="dxa" w:w="1419"/>
            <w:vAlign w:val="center"/>
            <w:shd w:fill="D9EAF7"/>
          </w:tcPr>
          <w:p>
            <w:r/>
            <w:r>
              <w:rPr>
                <w:b/>
                <w:sz w:val="18"/>
              </w:rPr>
              <w:t>MS/MS match %</w:t>
            </w:r>
          </w:p>
        </w:tc>
      </w:tr>
      <w:tr>
        <w:tc>
          <w:tcPr>
            <w:tcW w:type="dxa" w:w="1419"/>
            <w:vAlign w:val="center"/>
          </w:tcPr>
          <w:p>
            <w:r/>
            <w:r>
              <w:rPr>
                <w:b w:val="0"/>
                <w:sz w:val="18"/>
              </w:rPr>
              <w:t>Positive</w:t>
            </w:r>
          </w:p>
        </w:tc>
        <w:tc>
          <w:tcPr>
            <w:tcW w:type="dxa" w:w="1419"/>
            <w:vAlign w:val="center"/>
          </w:tcPr>
          <w:p>
            <w:r/>
            <w:r>
              <w:rPr>
                <w:b w:val="0"/>
                <w:sz w:val="18"/>
              </w:rPr>
              <w:t>13,032</w:t>
            </w:r>
          </w:p>
        </w:tc>
        <w:tc>
          <w:tcPr>
            <w:tcW w:type="dxa" w:w="1419"/>
            <w:vAlign w:val="center"/>
          </w:tcPr>
          <w:p>
            <w:r/>
            <w:r>
              <w:rPr>
                <w:b w:val="0"/>
                <w:sz w:val="18"/>
              </w:rPr>
              <w:t>2,499</w:t>
            </w:r>
          </w:p>
        </w:tc>
        <w:tc>
          <w:tcPr>
            <w:tcW w:type="dxa" w:w="1419"/>
            <w:vAlign w:val="center"/>
          </w:tcPr>
          <w:p>
            <w:r/>
            <w:r>
              <w:rPr>
                <w:b w:val="0"/>
                <w:sz w:val="18"/>
              </w:rPr>
              <w:t>472</w:t>
            </w:r>
          </w:p>
        </w:tc>
        <w:tc>
          <w:tcPr>
            <w:tcW w:type="dxa" w:w="1419"/>
            <w:vAlign w:val="center"/>
          </w:tcPr>
          <w:p>
            <w:r/>
            <w:r>
              <w:rPr>
                <w:b w:val="0"/>
                <w:sz w:val="18"/>
              </w:rPr>
              <w:t>472</w:t>
            </w:r>
          </w:p>
        </w:tc>
        <w:tc>
          <w:tcPr>
            <w:tcW w:type="dxa" w:w="1419"/>
            <w:vAlign w:val="center"/>
          </w:tcPr>
          <w:p>
            <w:r/>
            <w:r>
              <w:rPr>
                <w:b w:val="0"/>
                <w:sz w:val="18"/>
              </w:rPr>
              <w:t>19.18%</w:t>
            </w:r>
          </w:p>
        </w:tc>
        <w:tc>
          <w:tcPr>
            <w:tcW w:type="dxa" w:w="1419"/>
            <w:vAlign w:val="center"/>
          </w:tcPr>
          <w:p>
            <w:r/>
            <w:r>
              <w:rPr>
                <w:b w:val="0"/>
                <w:sz w:val="18"/>
              </w:rPr>
              <w:t>3.62%</w:t>
            </w:r>
          </w:p>
        </w:tc>
      </w:tr>
      <w:tr>
        <w:tc>
          <w:tcPr>
            <w:tcW w:type="dxa" w:w="1419"/>
            <w:vAlign w:val="center"/>
          </w:tcPr>
          <w:p>
            <w:r/>
            <w:r>
              <w:rPr>
                <w:b w:val="0"/>
                <w:sz w:val="18"/>
              </w:rPr>
              <w:t>Negative</w:t>
            </w:r>
          </w:p>
        </w:tc>
        <w:tc>
          <w:tcPr>
            <w:tcW w:type="dxa" w:w="1419"/>
            <w:vAlign w:val="center"/>
          </w:tcPr>
          <w:p>
            <w:r/>
            <w:r>
              <w:rPr>
                <w:b w:val="0"/>
                <w:sz w:val="18"/>
              </w:rPr>
              <w:t>16,036</w:t>
            </w:r>
          </w:p>
        </w:tc>
        <w:tc>
          <w:tcPr>
            <w:tcW w:type="dxa" w:w="1419"/>
            <w:vAlign w:val="center"/>
          </w:tcPr>
          <w:p>
            <w:r/>
            <w:r>
              <w:rPr>
                <w:b w:val="0"/>
                <w:sz w:val="18"/>
              </w:rPr>
              <w:t>3,254</w:t>
            </w:r>
          </w:p>
        </w:tc>
        <w:tc>
          <w:tcPr>
            <w:tcW w:type="dxa" w:w="1419"/>
            <w:vAlign w:val="center"/>
          </w:tcPr>
          <w:p>
            <w:r/>
            <w:r>
              <w:rPr>
                <w:b w:val="0"/>
                <w:sz w:val="18"/>
              </w:rPr>
              <w:t>248</w:t>
            </w:r>
          </w:p>
        </w:tc>
        <w:tc>
          <w:tcPr>
            <w:tcW w:type="dxa" w:w="1419"/>
            <w:vAlign w:val="center"/>
          </w:tcPr>
          <w:p>
            <w:r/>
            <w:r>
              <w:rPr>
                <w:b w:val="0"/>
                <w:sz w:val="18"/>
              </w:rPr>
              <w:t>248</w:t>
            </w:r>
          </w:p>
        </w:tc>
        <w:tc>
          <w:tcPr>
            <w:tcW w:type="dxa" w:w="1419"/>
            <w:vAlign w:val="center"/>
          </w:tcPr>
          <w:p>
            <w:r/>
            <w:r>
              <w:rPr>
                <w:b w:val="0"/>
                <w:sz w:val="18"/>
              </w:rPr>
              <w:t>20.29%</w:t>
            </w:r>
          </w:p>
        </w:tc>
        <w:tc>
          <w:tcPr>
            <w:tcW w:type="dxa" w:w="1419"/>
            <w:vAlign w:val="center"/>
          </w:tcPr>
          <w:p>
            <w:r/>
            <w:r>
              <w:rPr>
                <w:b w:val="0"/>
                <w:sz w:val="18"/>
              </w:rPr>
              <w:t>1.55%</w:t>
            </w:r>
          </w:p>
        </w:tc>
      </w:tr>
    </w:tbl>
    <w:p>
      <w:r>
        <w:t>The equality of the MS/MS-matched and m/z + MS/MS-matched counts reflects the post-processing logic and the observed result table: the MS/MS-supported entries retained for annotation were also m/z matched.</w:t>
      </w:r>
    </w:p>
    <w:p>
      <w:pPr>
        <w:pStyle w:val="Heading1"/>
      </w:pPr>
      <w:r>
        <w:t>13. Lipid-Class Distribution</w:t>
      </w:r>
    </w:p>
    <w:p>
      <w:pPr>
        <w:pStyle w:val="Heading2"/>
      </w:pPr>
      <w:r>
        <w:t>13.1 Positive ionization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Lipid class</w:t>
            </w:r>
          </w:p>
        </w:tc>
        <w:tc>
          <w:tcPr>
            <w:tcW w:type="dxa" w:w="4968"/>
            <w:vAlign w:val="center"/>
            <w:shd w:fill="D9EAF7"/>
          </w:tcPr>
          <w:p>
            <w:r/>
            <w:r>
              <w:rPr>
                <w:b/>
                <w:sz w:val="18"/>
              </w:rPr>
              <w:t>MS/MS-supported annotations</w:t>
            </w:r>
          </w:p>
        </w:tc>
      </w:tr>
      <w:tr>
        <w:tc>
          <w:tcPr>
            <w:tcW w:type="dxa" w:w="4968"/>
            <w:vAlign w:val="center"/>
          </w:tcPr>
          <w:p>
            <w:r/>
            <w:r>
              <w:rPr>
                <w:b w:val="0"/>
                <w:sz w:val="18"/>
              </w:rPr>
              <w:t>TAG</w:t>
            </w:r>
          </w:p>
        </w:tc>
        <w:tc>
          <w:tcPr>
            <w:tcW w:type="dxa" w:w="4968"/>
            <w:vAlign w:val="center"/>
          </w:tcPr>
          <w:p>
            <w:r/>
            <w:r>
              <w:rPr>
                <w:b w:val="0"/>
                <w:sz w:val="18"/>
              </w:rPr>
              <w:t>131</w:t>
            </w:r>
          </w:p>
        </w:tc>
      </w:tr>
      <w:tr>
        <w:tc>
          <w:tcPr>
            <w:tcW w:type="dxa" w:w="4968"/>
            <w:vAlign w:val="center"/>
          </w:tcPr>
          <w:p>
            <w:r/>
            <w:r>
              <w:rPr>
                <w:b w:val="0"/>
                <w:sz w:val="18"/>
              </w:rPr>
              <w:t>EtherPC</w:t>
            </w:r>
          </w:p>
        </w:tc>
        <w:tc>
          <w:tcPr>
            <w:tcW w:type="dxa" w:w="4968"/>
            <w:vAlign w:val="center"/>
          </w:tcPr>
          <w:p>
            <w:r/>
            <w:r>
              <w:rPr>
                <w:b w:val="0"/>
                <w:sz w:val="18"/>
              </w:rPr>
              <w:t>106</w:t>
            </w:r>
          </w:p>
        </w:tc>
      </w:tr>
      <w:tr>
        <w:tc>
          <w:tcPr>
            <w:tcW w:type="dxa" w:w="4968"/>
            <w:vAlign w:val="center"/>
          </w:tcPr>
          <w:p>
            <w:r/>
            <w:r>
              <w:rPr>
                <w:b w:val="0"/>
                <w:sz w:val="18"/>
              </w:rPr>
              <w:t>PC</w:t>
            </w:r>
          </w:p>
        </w:tc>
        <w:tc>
          <w:tcPr>
            <w:tcW w:type="dxa" w:w="4968"/>
            <w:vAlign w:val="center"/>
          </w:tcPr>
          <w:p>
            <w:r/>
            <w:r>
              <w:rPr>
                <w:b w:val="0"/>
                <w:sz w:val="18"/>
              </w:rPr>
              <w:t>100</w:t>
            </w:r>
          </w:p>
        </w:tc>
      </w:tr>
      <w:tr>
        <w:tc>
          <w:tcPr>
            <w:tcW w:type="dxa" w:w="4968"/>
            <w:vAlign w:val="center"/>
          </w:tcPr>
          <w:p>
            <w:r/>
            <w:r>
              <w:rPr>
                <w:b w:val="0"/>
                <w:sz w:val="18"/>
              </w:rPr>
              <w:t>SM</w:t>
            </w:r>
          </w:p>
        </w:tc>
        <w:tc>
          <w:tcPr>
            <w:tcW w:type="dxa" w:w="4968"/>
            <w:vAlign w:val="center"/>
          </w:tcPr>
          <w:p>
            <w:r/>
            <w:r>
              <w:rPr>
                <w:b w:val="0"/>
                <w:sz w:val="18"/>
              </w:rPr>
              <w:t>73</w:t>
            </w:r>
          </w:p>
        </w:tc>
      </w:tr>
      <w:tr>
        <w:tc>
          <w:tcPr>
            <w:tcW w:type="dxa" w:w="4968"/>
            <w:vAlign w:val="center"/>
          </w:tcPr>
          <w:p>
            <w:r/>
            <w:r>
              <w:rPr>
                <w:b w:val="0"/>
                <w:sz w:val="18"/>
              </w:rPr>
              <w:t>LPC</w:t>
            </w:r>
          </w:p>
        </w:tc>
        <w:tc>
          <w:tcPr>
            <w:tcW w:type="dxa" w:w="4968"/>
            <w:vAlign w:val="center"/>
          </w:tcPr>
          <w:p>
            <w:r/>
            <w:r>
              <w:rPr>
                <w:b w:val="0"/>
                <w:sz w:val="18"/>
              </w:rPr>
              <w:t>19</w:t>
            </w:r>
          </w:p>
        </w:tc>
      </w:tr>
      <w:tr>
        <w:tc>
          <w:tcPr>
            <w:tcW w:type="dxa" w:w="4968"/>
            <w:vAlign w:val="center"/>
          </w:tcPr>
          <w:p>
            <w:r/>
            <w:r>
              <w:rPr>
                <w:b w:val="0"/>
                <w:sz w:val="18"/>
              </w:rPr>
              <w:t>ACar</w:t>
            </w:r>
          </w:p>
        </w:tc>
        <w:tc>
          <w:tcPr>
            <w:tcW w:type="dxa" w:w="4968"/>
            <w:vAlign w:val="center"/>
          </w:tcPr>
          <w:p>
            <w:r/>
            <w:r>
              <w:rPr>
                <w:b w:val="0"/>
                <w:sz w:val="18"/>
              </w:rPr>
              <w:t>15</w:t>
            </w:r>
          </w:p>
        </w:tc>
      </w:tr>
      <w:tr>
        <w:tc>
          <w:tcPr>
            <w:tcW w:type="dxa" w:w="4968"/>
            <w:vAlign w:val="center"/>
          </w:tcPr>
          <w:p>
            <w:r/>
            <w:r>
              <w:rPr>
                <w:b w:val="0"/>
                <w:sz w:val="18"/>
              </w:rPr>
              <w:t>GlcCer_NS</w:t>
            </w:r>
          </w:p>
        </w:tc>
        <w:tc>
          <w:tcPr>
            <w:tcW w:type="dxa" w:w="4968"/>
            <w:vAlign w:val="center"/>
          </w:tcPr>
          <w:p>
            <w:r/>
            <w:r>
              <w:rPr>
                <w:b w:val="0"/>
                <w:sz w:val="18"/>
              </w:rPr>
              <w:t>6</w:t>
            </w:r>
          </w:p>
        </w:tc>
      </w:tr>
      <w:tr>
        <w:tc>
          <w:tcPr>
            <w:tcW w:type="dxa" w:w="4968"/>
            <w:vAlign w:val="center"/>
          </w:tcPr>
          <w:p>
            <w:r/>
            <w:r>
              <w:rPr>
                <w:b w:val="0"/>
                <w:sz w:val="18"/>
              </w:rPr>
              <w:t>CE</w:t>
            </w:r>
          </w:p>
        </w:tc>
        <w:tc>
          <w:tcPr>
            <w:tcW w:type="dxa" w:w="4968"/>
            <w:vAlign w:val="center"/>
          </w:tcPr>
          <w:p>
            <w:r/>
            <w:r>
              <w:rPr>
                <w:b w:val="0"/>
                <w:sz w:val="18"/>
              </w:rPr>
              <w:t>6</w:t>
            </w:r>
          </w:p>
        </w:tc>
      </w:tr>
      <w:tr>
        <w:tc>
          <w:tcPr>
            <w:tcW w:type="dxa" w:w="4968"/>
            <w:vAlign w:val="center"/>
          </w:tcPr>
          <w:p>
            <w:r/>
            <w:r>
              <w:rPr>
                <w:b w:val="0"/>
                <w:sz w:val="18"/>
              </w:rPr>
              <w:t>EtherPE</w:t>
            </w:r>
          </w:p>
        </w:tc>
        <w:tc>
          <w:tcPr>
            <w:tcW w:type="dxa" w:w="4968"/>
            <w:vAlign w:val="center"/>
          </w:tcPr>
          <w:p>
            <w:r/>
            <w:r>
              <w:rPr>
                <w:b w:val="0"/>
                <w:sz w:val="18"/>
              </w:rPr>
              <w:t>5</w:t>
            </w:r>
          </w:p>
        </w:tc>
      </w:tr>
      <w:tr>
        <w:tc>
          <w:tcPr>
            <w:tcW w:type="dxa" w:w="4968"/>
            <w:vAlign w:val="center"/>
          </w:tcPr>
          <w:p>
            <w:r/>
            <w:r>
              <w:rPr>
                <w:b w:val="0"/>
                <w:sz w:val="18"/>
              </w:rPr>
              <w:t>Cer_NS</w:t>
            </w:r>
          </w:p>
        </w:tc>
        <w:tc>
          <w:tcPr>
            <w:tcW w:type="dxa" w:w="4968"/>
            <w:vAlign w:val="center"/>
          </w:tcPr>
          <w:p>
            <w:r/>
            <w:r>
              <w:rPr>
                <w:b w:val="0"/>
                <w:sz w:val="18"/>
              </w:rPr>
              <w:t>5</w:t>
            </w:r>
          </w:p>
        </w:tc>
      </w:tr>
      <w:tr>
        <w:tc>
          <w:tcPr>
            <w:tcW w:type="dxa" w:w="4968"/>
            <w:vAlign w:val="center"/>
          </w:tcPr>
          <w:p>
            <w:r/>
            <w:r>
              <w:rPr>
                <w:b w:val="0"/>
                <w:sz w:val="18"/>
              </w:rPr>
              <w:t>DAG</w:t>
            </w:r>
          </w:p>
        </w:tc>
        <w:tc>
          <w:tcPr>
            <w:tcW w:type="dxa" w:w="4968"/>
            <w:vAlign w:val="center"/>
          </w:tcPr>
          <w:p>
            <w:r/>
            <w:r>
              <w:rPr>
                <w:b w:val="0"/>
                <w:sz w:val="18"/>
              </w:rPr>
              <w:t>4</w:t>
            </w:r>
          </w:p>
        </w:tc>
      </w:tr>
      <w:tr>
        <w:tc>
          <w:tcPr>
            <w:tcW w:type="dxa" w:w="4968"/>
            <w:vAlign w:val="center"/>
          </w:tcPr>
          <w:p>
            <w:r/>
            <w:r>
              <w:rPr>
                <w:b w:val="0"/>
                <w:sz w:val="18"/>
              </w:rPr>
              <w:t>MAG</w:t>
            </w:r>
          </w:p>
        </w:tc>
        <w:tc>
          <w:tcPr>
            <w:tcW w:type="dxa" w:w="4968"/>
            <w:vAlign w:val="center"/>
          </w:tcPr>
          <w:p>
            <w:r/>
            <w:r>
              <w:rPr>
                <w:b w:val="0"/>
                <w:sz w:val="18"/>
              </w:rPr>
              <w:t>1</w:t>
            </w:r>
          </w:p>
        </w:tc>
      </w:tr>
      <w:tr>
        <w:tc>
          <w:tcPr>
            <w:tcW w:type="dxa" w:w="4968"/>
            <w:vAlign w:val="center"/>
          </w:tcPr>
          <w:p>
            <w:r/>
            <w:r>
              <w:rPr>
                <w:b w:val="0"/>
                <w:sz w:val="18"/>
              </w:rPr>
              <w:t>PE</w:t>
            </w:r>
          </w:p>
        </w:tc>
        <w:tc>
          <w:tcPr>
            <w:tcW w:type="dxa" w:w="4968"/>
            <w:vAlign w:val="center"/>
          </w:tcPr>
          <w:p>
            <w:r/>
            <w:r>
              <w:rPr>
                <w:b w:val="0"/>
                <w:sz w:val="18"/>
              </w:rPr>
              <w:t>1</w:t>
            </w:r>
          </w:p>
        </w:tc>
      </w:tr>
    </w:tbl>
    <w:p>
      <w:pPr>
        <w:pStyle w:val="Heading2"/>
      </w:pPr>
      <w:r>
        <w:t>13.2 Negative ionization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Lipid class</w:t>
            </w:r>
          </w:p>
        </w:tc>
        <w:tc>
          <w:tcPr>
            <w:tcW w:type="dxa" w:w="4968"/>
            <w:vAlign w:val="center"/>
            <w:shd w:fill="D9EAF7"/>
          </w:tcPr>
          <w:p>
            <w:r/>
            <w:r>
              <w:rPr>
                <w:b/>
                <w:sz w:val="18"/>
              </w:rPr>
              <w:t>MS/MS-supported annotations</w:t>
            </w:r>
          </w:p>
        </w:tc>
      </w:tr>
      <w:tr>
        <w:tc>
          <w:tcPr>
            <w:tcW w:type="dxa" w:w="4968"/>
            <w:vAlign w:val="center"/>
          </w:tcPr>
          <w:p>
            <w:r/>
            <w:r>
              <w:rPr>
                <w:b w:val="0"/>
                <w:sz w:val="18"/>
              </w:rPr>
              <w:t>SM</w:t>
            </w:r>
          </w:p>
        </w:tc>
        <w:tc>
          <w:tcPr>
            <w:tcW w:type="dxa" w:w="4968"/>
            <w:vAlign w:val="center"/>
          </w:tcPr>
          <w:p>
            <w:r/>
            <w:r>
              <w:rPr>
                <w:b w:val="0"/>
                <w:sz w:val="18"/>
              </w:rPr>
              <w:t>66</w:t>
            </w:r>
          </w:p>
        </w:tc>
      </w:tr>
      <w:tr>
        <w:tc>
          <w:tcPr>
            <w:tcW w:type="dxa" w:w="4968"/>
            <w:vAlign w:val="center"/>
          </w:tcPr>
          <w:p>
            <w:r/>
            <w:r>
              <w:rPr>
                <w:b w:val="0"/>
                <w:sz w:val="18"/>
              </w:rPr>
              <w:t>PC</w:t>
            </w:r>
          </w:p>
        </w:tc>
        <w:tc>
          <w:tcPr>
            <w:tcW w:type="dxa" w:w="4968"/>
            <w:vAlign w:val="center"/>
          </w:tcPr>
          <w:p>
            <w:r/>
            <w:r>
              <w:rPr>
                <w:b w:val="0"/>
                <w:sz w:val="18"/>
              </w:rPr>
              <w:t>66</w:t>
            </w:r>
          </w:p>
        </w:tc>
      </w:tr>
      <w:tr>
        <w:tc>
          <w:tcPr>
            <w:tcW w:type="dxa" w:w="4968"/>
            <w:vAlign w:val="center"/>
          </w:tcPr>
          <w:p>
            <w:r/>
            <w:r>
              <w:rPr>
                <w:b w:val="0"/>
                <w:sz w:val="18"/>
              </w:rPr>
              <w:t>EtherPC</w:t>
            </w:r>
          </w:p>
        </w:tc>
        <w:tc>
          <w:tcPr>
            <w:tcW w:type="dxa" w:w="4968"/>
            <w:vAlign w:val="center"/>
          </w:tcPr>
          <w:p>
            <w:r/>
            <w:r>
              <w:rPr>
                <w:b w:val="0"/>
                <w:sz w:val="18"/>
              </w:rPr>
              <w:t>34</w:t>
            </w:r>
          </w:p>
        </w:tc>
      </w:tr>
      <w:tr>
        <w:tc>
          <w:tcPr>
            <w:tcW w:type="dxa" w:w="4968"/>
            <w:vAlign w:val="center"/>
          </w:tcPr>
          <w:p>
            <w:r/>
            <w:r>
              <w:rPr>
                <w:b w:val="0"/>
                <w:sz w:val="18"/>
              </w:rPr>
              <w:t>PI</w:t>
            </w:r>
          </w:p>
        </w:tc>
        <w:tc>
          <w:tcPr>
            <w:tcW w:type="dxa" w:w="4968"/>
            <w:vAlign w:val="center"/>
          </w:tcPr>
          <w:p>
            <w:r/>
            <w:r>
              <w:rPr>
                <w:b w:val="0"/>
                <w:sz w:val="18"/>
              </w:rPr>
              <w:t>15</w:t>
            </w:r>
          </w:p>
        </w:tc>
      </w:tr>
      <w:tr>
        <w:tc>
          <w:tcPr>
            <w:tcW w:type="dxa" w:w="4968"/>
            <w:vAlign w:val="center"/>
          </w:tcPr>
          <w:p>
            <w:r/>
            <w:r>
              <w:rPr>
                <w:b w:val="0"/>
                <w:sz w:val="18"/>
              </w:rPr>
              <w:t>LPC</w:t>
            </w:r>
          </w:p>
        </w:tc>
        <w:tc>
          <w:tcPr>
            <w:tcW w:type="dxa" w:w="4968"/>
            <w:vAlign w:val="center"/>
          </w:tcPr>
          <w:p>
            <w:r/>
            <w:r>
              <w:rPr>
                <w:b w:val="0"/>
                <w:sz w:val="18"/>
              </w:rPr>
              <w:t>12</w:t>
            </w:r>
          </w:p>
        </w:tc>
      </w:tr>
      <w:tr>
        <w:tc>
          <w:tcPr>
            <w:tcW w:type="dxa" w:w="4968"/>
            <w:vAlign w:val="center"/>
          </w:tcPr>
          <w:p>
            <w:r/>
            <w:r>
              <w:rPr>
                <w:b w:val="0"/>
                <w:sz w:val="18"/>
              </w:rPr>
              <w:t>AcylGlcADG</w:t>
            </w:r>
          </w:p>
        </w:tc>
        <w:tc>
          <w:tcPr>
            <w:tcW w:type="dxa" w:w="4968"/>
            <w:vAlign w:val="center"/>
          </w:tcPr>
          <w:p>
            <w:r/>
            <w:r>
              <w:rPr>
                <w:b w:val="0"/>
                <w:sz w:val="18"/>
              </w:rPr>
              <w:t>10</w:t>
            </w:r>
          </w:p>
        </w:tc>
      </w:tr>
      <w:tr>
        <w:tc>
          <w:tcPr>
            <w:tcW w:type="dxa" w:w="4968"/>
            <w:vAlign w:val="center"/>
          </w:tcPr>
          <w:p>
            <w:r/>
            <w:r>
              <w:rPr>
                <w:b w:val="0"/>
                <w:sz w:val="18"/>
              </w:rPr>
              <w:t>GlcCer_NS</w:t>
            </w:r>
          </w:p>
        </w:tc>
        <w:tc>
          <w:tcPr>
            <w:tcW w:type="dxa" w:w="4968"/>
            <w:vAlign w:val="center"/>
          </w:tcPr>
          <w:p>
            <w:r/>
            <w:r>
              <w:rPr>
                <w:b w:val="0"/>
                <w:sz w:val="18"/>
              </w:rPr>
              <w:t>10</w:t>
            </w:r>
          </w:p>
        </w:tc>
      </w:tr>
      <w:tr>
        <w:tc>
          <w:tcPr>
            <w:tcW w:type="dxa" w:w="4968"/>
            <w:vAlign w:val="center"/>
          </w:tcPr>
          <w:p>
            <w:r/>
            <w:r>
              <w:rPr>
                <w:b w:val="0"/>
                <w:sz w:val="18"/>
              </w:rPr>
              <w:t>GM3</w:t>
            </w:r>
          </w:p>
        </w:tc>
        <w:tc>
          <w:tcPr>
            <w:tcW w:type="dxa" w:w="4968"/>
            <w:vAlign w:val="center"/>
          </w:tcPr>
          <w:p>
            <w:r/>
            <w:r>
              <w:rPr>
                <w:b w:val="0"/>
                <w:sz w:val="18"/>
              </w:rPr>
              <w:t>9</w:t>
            </w:r>
          </w:p>
        </w:tc>
      </w:tr>
      <w:tr>
        <w:tc>
          <w:tcPr>
            <w:tcW w:type="dxa" w:w="4968"/>
            <w:vAlign w:val="center"/>
          </w:tcPr>
          <w:p>
            <w:r/>
            <w:r>
              <w:rPr>
                <w:b w:val="0"/>
                <w:sz w:val="18"/>
              </w:rPr>
              <w:t>EtherPE</w:t>
            </w:r>
          </w:p>
        </w:tc>
        <w:tc>
          <w:tcPr>
            <w:tcW w:type="dxa" w:w="4968"/>
            <w:vAlign w:val="center"/>
          </w:tcPr>
          <w:p>
            <w:r/>
            <w:r>
              <w:rPr>
                <w:b w:val="0"/>
                <w:sz w:val="18"/>
              </w:rPr>
              <w:t>7</w:t>
            </w:r>
          </w:p>
        </w:tc>
      </w:tr>
      <w:tr>
        <w:tc>
          <w:tcPr>
            <w:tcW w:type="dxa" w:w="4968"/>
            <w:vAlign w:val="center"/>
          </w:tcPr>
          <w:p>
            <w:r/>
            <w:r>
              <w:rPr>
                <w:b w:val="0"/>
                <w:sz w:val="18"/>
              </w:rPr>
              <w:t>LPE</w:t>
            </w:r>
          </w:p>
        </w:tc>
        <w:tc>
          <w:tcPr>
            <w:tcW w:type="dxa" w:w="4968"/>
            <w:vAlign w:val="center"/>
          </w:tcPr>
          <w:p>
            <w:r/>
            <w:r>
              <w:rPr>
                <w:b w:val="0"/>
                <w:sz w:val="18"/>
              </w:rPr>
              <w:t>6</w:t>
            </w:r>
          </w:p>
        </w:tc>
      </w:tr>
      <w:tr>
        <w:tc>
          <w:tcPr>
            <w:tcW w:type="dxa" w:w="4968"/>
            <w:vAlign w:val="center"/>
          </w:tcPr>
          <w:p>
            <w:r/>
            <w:r>
              <w:rPr>
                <w:b w:val="0"/>
                <w:sz w:val="18"/>
              </w:rPr>
              <w:t>GlcCer_AP</w:t>
            </w:r>
          </w:p>
        </w:tc>
        <w:tc>
          <w:tcPr>
            <w:tcW w:type="dxa" w:w="4968"/>
            <w:vAlign w:val="center"/>
          </w:tcPr>
          <w:p>
            <w:r/>
            <w:r>
              <w:rPr>
                <w:b w:val="0"/>
                <w:sz w:val="18"/>
              </w:rPr>
              <w:t>4</w:t>
            </w:r>
          </w:p>
        </w:tc>
      </w:tr>
      <w:tr>
        <w:tc>
          <w:tcPr>
            <w:tcW w:type="dxa" w:w="4968"/>
            <w:vAlign w:val="center"/>
          </w:tcPr>
          <w:p>
            <w:r/>
            <w:r>
              <w:rPr>
                <w:b w:val="0"/>
                <w:sz w:val="18"/>
              </w:rPr>
              <w:t>PE</w:t>
            </w:r>
          </w:p>
        </w:tc>
        <w:tc>
          <w:tcPr>
            <w:tcW w:type="dxa" w:w="4968"/>
            <w:vAlign w:val="center"/>
          </w:tcPr>
          <w:p>
            <w:r/>
            <w:r>
              <w:rPr>
                <w:b w:val="0"/>
                <w:sz w:val="18"/>
              </w:rPr>
              <w:t>3</w:t>
            </w:r>
          </w:p>
        </w:tc>
      </w:tr>
      <w:tr>
        <w:tc>
          <w:tcPr>
            <w:tcW w:type="dxa" w:w="4968"/>
            <w:vAlign w:val="center"/>
          </w:tcPr>
          <w:p>
            <w:r/>
            <w:r>
              <w:rPr>
                <w:b w:val="0"/>
                <w:sz w:val="18"/>
              </w:rPr>
              <w:t>LPI</w:t>
            </w:r>
          </w:p>
        </w:tc>
        <w:tc>
          <w:tcPr>
            <w:tcW w:type="dxa" w:w="4968"/>
            <w:vAlign w:val="center"/>
          </w:tcPr>
          <w:p>
            <w:r/>
            <w:r>
              <w:rPr>
                <w:b w:val="0"/>
                <w:sz w:val="18"/>
              </w:rPr>
              <w:t>2</w:t>
            </w:r>
          </w:p>
        </w:tc>
      </w:tr>
      <w:tr>
        <w:tc>
          <w:tcPr>
            <w:tcW w:type="dxa" w:w="4968"/>
            <w:vAlign w:val="center"/>
          </w:tcPr>
          <w:p>
            <w:r/>
            <w:r>
              <w:rPr>
                <w:b w:val="0"/>
                <w:sz w:val="18"/>
              </w:rPr>
              <w:t>Cer_NP</w:t>
            </w:r>
          </w:p>
        </w:tc>
        <w:tc>
          <w:tcPr>
            <w:tcW w:type="dxa" w:w="4968"/>
            <w:vAlign w:val="center"/>
          </w:tcPr>
          <w:p>
            <w:r/>
            <w:r>
              <w:rPr>
                <w:b w:val="0"/>
                <w:sz w:val="18"/>
              </w:rPr>
              <w:t>2</w:t>
            </w:r>
          </w:p>
        </w:tc>
      </w:tr>
      <w:tr>
        <w:tc>
          <w:tcPr>
            <w:tcW w:type="dxa" w:w="4968"/>
            <w:vAlign w:val="center"/>
          </w:tcPr>
          <w:p>
            <w:r/>
            <w:r>
              <w:rPr>
                <w:b w:val="0"/>
                <w:sz w:val="18"/>
              </w:rPr>
              <w:t>FA</w:t>
            </w:r>
          </w:p>
        </w:tc>
        <w:tc>
          <w:tcPr>
            <w:tcW w:type="dxa" w:w="4968"/>
            <w:vAlign w:val="center"/>
          </w:tcPr>
          <w:p>
            <w:r/>
            <w:r>
              <w:rPr>
                <w:b w:val="0"/>
                <w:sz w:val="18"/>
              </w:rPr>
              <w:t>1</w:t>
            </w:r>
          </w:p>
        </w:tc>
      </w:tr>
      <w:tr>
        <w:tc>
          <w:tcPr>
            <w:tcW w:type="dxa" w:w="4968"/>
            <w:vAlign w:val="center"/>
          </w:tcPr>
          <w:p>
            <w:r/>
            <w:r>
              <w:rPr>
                <w:b w:val="0"/>
                <w:sz w:val="18"/>
              </w:rPr>
              <w:t>Cer_AS</w:t>
            </w:r>
          </w:p>
        </w:tc>
        <w:tc>
          <w:tcPr>
            <w:tcW w:type="dxa" w:w="4968"/>
            <w:vAlign w:val="center"/>
          </w:tcPr>
          <w:p>
            <w:r/>
            <w:r>
              <w:rPr>
                <w:b w:val="0"/>
                <w:sz w:val="18"/>
              </w:rPr>
              <w:t>1</w:t>
            </w:r>
          </w:p>
        </w:tc>
      </w:tr>
    </w:tbl>
    <w:p>
      <w:r>
        <w:t>These counts represent MS/MS-supported annotation records, not necessarily unique molecular species. They should therefore be used as a workflow summary rather than as a quantitative biological abundance result.</w:t>
      </w:r>
    </w:p>
    <w:p>
      <w:pPr>
        <w:pStyle w:val="Heading1"/>
      </w:pPr>
      <w:r>
        <w:t>14. Annotation Evidence and Interpretation</w:t>
      </w:r>
    </w:p>
    <w:p>
      <w:r>
        <w:t>The annotation table retains the evidence fields available from the MS-DIAL .mdpeak output, including lipid name, retention time, precursor m/z, height, area, adduct, formula, ontology, InChIKey, annotation tag, matching flags, dot-product scores, matched peak count/percentage, total score, and signal-to-noise ratio.</w:t>
      </w:r>
    </w:p>
    <w:p>
      <w:r>
        <w:rPr>
          <w:b/>
        </w:rPr>
        <w:t xml:space="preserve">Reporting level: </w:t>
      </w:r>
      <w:r>
        <w:t>Annotations are reported as putative MS/MS-supported lipid annotations.</w:t>
      </w:r>
    </w:p>
    <w:p>
      <w:r>
        <w:rPr>
          <w:b/>
        </w:rPr>
        <w:t xml:space="preserve">Biological interpretation: </w:t>
      </w:r>
      <w:r>
        <w:t>No case/control comparison, p-value analysis, FDR analysis, or pathway-enrichment conclusion is part of this validation workflow.</w:t>
      </w:r>
    </w:p>
    <w:p>
      <w:pPr>
        <w:pStyle w:val="Heading1"/>
      </w:pPr>
      <w:r>
        <w:t>15. Reproducibility and Repository Structure</w:t>
      </w:r>
    </w:p>
    <w:p>
      <w:r>
        <w:t>The organized project contains:</w:t>
      </w:r>
    </w:p>
    <w:p>
      <w:pPr>
        <w:spacing w:before="60" w:after="120"/>
        <w:ind w:left="360" w:right="360"/>
      </w:pPr>
      <w:r>
        <w:rPr>
          <w:rFonts w:ascii="Consolas" w:hAnsi="Consolas"/>
          <w:sz w:val="17"/>
        </w:rPr>
        <w:t>project/</w:t>
        <w:br/>
        <w:t>├── data/</w:t>
        <w:br/>
        <w:t>│   ├── mzml_pos/</w:t>
        <w:br/>
        <w:t>│   ├── mzml_neg/</w:t>
        <w:br/>
        <w:t>│   └── README.md</w:t>
        <w:br/>
        <w:t>├── docs/</w:t>
        <w:br/>
        <w:t>│   └── MSDIAL_Console_Lipidomics_Workflow_VZ0000099.md</w:t>
        <w:br/>
        <w:t>├── libraries/</w:t>
        <w:br/>
        <w:t>│   └── README.md</w:t>
        <w:br/>
        <w:t>├── parameters/</w:t>
        <w:br/>
        <w:t>│   ├── msdial5_lipidomics_POS_MSP.txt</w:t>
        <w:br/>
        <w:t>│   └── msdial5_lipidomics_NEG_MSP.txt</w:t>
        <w:br/>
        <w:t>├── results/</w:t>
        <w:br/>
        <w:t>│   ├── MSDIAL_MSMS_annotations.tsv</w:t>
        <w:br/>
        <w:t>│   ├── MSDIAL_sample_summary.tsv</w:t>
        <w:br/>
        <w:t>│   ├── VZ0000099_PL_Neg_lipid_classes.tsv</w:t>
        <w:br/>
        <w:t>│   └── VZ0000099_PL_Pos_lipid_classes.tsv</w:t>
        <w:br/>
        <w:t>├── scripts/</w:t>
        <w:br/>
        <w:t>│   └── summarize_msdial.py</w:t>
        <w:br/>
        <w:t>├── .gitignore</w:t>
        <w:br/>
        <w:t>└── README.md</w:t>
      </w:r>
    </w:p>
    <w:p>
      <w:r>
        <w:t>Large raw data, mzML files, spectral libraries, and generated MS-DIAL files are excluded from the repository. The parameter files and post-processing script are retained so that the workflow can be reproduced and later automated.</w:t>
      </w:r>
    </w:p>
    <w:p>
      <w:pPr>
        <w:pStyle w:val="Heading1"/>
      </w:pPr>
      <w:r>
        <w:t>16. Troubleshooting Record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Issue / observation</w:t>
            </w:r>
          </w:p>
        </w:tc>
        <w:tc>
          <w:tcPr>
            <w:tcW w:type="dxa" w:w="4968"/>
            <w:vAlign w:val="center"/>
            <w:shd w:fill="D9EAF7"/>
          </w:tcPr>
          <w:p>
            <w:r/>
            <w:r>
              <w:rPr>
                <w:b/>
                <w:sz w:val="18"/>
              </w:rPr>
              <w:t>Action or resolution</w:t>
            </w:r>
          </w:p>
        </w:tc>
      </w:tr>
      <w:tr>
        <w:tc>
          <w:tcPr>
            <w:tcW w:type="dxa" w:w="4968"/>
            <w:vAlign w:val="center"/>
          </w:tcPr>
          <w:p>
            <w:r/>
            <w:r>
              <w:rPr>
                <w:b w:val="0"/>
                <w:sz w:val="18"/>
              </w:rPr>
              <w:t>Console executable required execution permission</w:t>
            </w:r>
          </w:p>
        </w:tc>
        <w:tc>
          <w:tcPr>
            <w:tcW w:type="dxa" w:w="4968"/>
            <w:vAlign w:val="center"/>
          </w:tcPr>
          <w:p>
            <w:r/>
            <w:r>
              <w:rPr>
                <w:b w:val="0"/>
                <w:sz w:val="18"/>
              </w:rPr>
              <w:t>Used chmod +x MSDIALCUI.</w:t>
            </w:r>
          </w:p>
        </w:tc>
      </w:tr>
      <w:tr>
        <w:tc>
          <w:tcPr>
            <w:tcW w:type="dxa" w:w="4968"/>
            <w:vAlign w:val="center"/>
          </w:tcPr>
          <w:p>
            <w:r/>
            <w:r>
              <w:rPr>
                <w:b w:val="0"/>
                <w:sz w:val="18"/>
              </w:rPr>
              <w:t>Initial lcmsdda command was attempted</w:t>
            </w:r>
          </w:p>
        </w:tc>
        <w:tc>
          <w:tcPr>
            <w:tcW w:type="dxa" w:w="4968"/>
            <w:vAlign w:val="center"/>
          </w:tcPr>
          <w:p>
            <w:r/>
            <w:r>
              <w:rPr>
                <w:b w:val="0"/>
                <w:sz w:val="18"/>
              </w:rPr>
              <w:t>The installed --help output showed supported analysis types as gcms and lcms; final command used lcms.</w:t>
            </w:r>
          </w:p>
        </w:tc>
      </w:tr>
      <w:tr>
        <w:tc>
          <w:tcPr>
            <w:tcW w:type="dxa" w:w="4968"/>
            <w:vAlign w:val="center"/>
          </w:tcPr>
          <w:p>
            <w:r/>
            <w:r>
              <w:rPr>
                <w:b w:val="0"/>
                <w:sz w:val="18"/>
              </w:rPr>
              <w:t>Need to verify mzML structure</w:t>
            </w:r>
          </w:p>
        </w:tc>
        <w:tc>
          <w:tcPr>
            <w:tcW w:type="dxa" w:w="4968"/>
            <w:vAlign w:val="center"/>
          </w:tcPr>
          <w:p>
            <w:r/>
            <w:r>
              <w:rPr>
                <w:b w:val="0"/>
                <w:sz w:val="18"/>
              </w:rPr>
              <w:t>Used grep checks for spectrum count, MS level, centroid/profile descriptors, and scan counts.</w:t>
            </w:r>
          </w:p>
        </w:tc>
      </w:tr>
      <w:tr>
        <w:tc>
          <w:tcPr>
            <w:tcW w:type="dxa" w:w="4968"/>
            <w:vAlign w:val="center"/>
          </w:tcPr>
          <w:p>
            <w:r/>
            <w:r>
              <w:rPr>
                <w:b w:val="0"/>
                <w:sz w:val="18"/>
              </w:rPr>
              <w:t>LBM2 library loading produced MessagePack format error</w:t>
            </w:r>
          </w:p>
        </w:tc>
        <w:tc>
          <w:tcPr>
            <w:tcW w:type="dxa" w:w="4968"/>
            <w:vAlign w:val="center"/>
          </w:tcPr>
          <w:p>
            <w:r/>
            <w:r>
              <w:rPr>
                <w:b w:val="0"/>
                <w:sz w:val="18"/>
              </w:rPr>
              <w:t>LBM2 route was not used in the final validated workflow; MSP libraries were used instead.</w:t>
            </w:r>
          </w:p>
        </w:tc>
      </w:tr>
      <w:tr>
        <w:tc>
          <w:tcPr>
            <w:tcW w:type="dxa" w:w="4968"/>
            <w:vAlign w:val="center"/>
          </w:tcPr>
          <w:p>
            <w:r/>
            <w:r>
              <w:rPr>
                <w:b w:val="0"/>
                <w:sz w:val="18"/>
              </w:rPr>
              <w:t>Need reproducible result summaries</w:t>
            </w:r>
          </w:p>
        </w:tc>
        <w:tc>
          <w:tcPr>
            <w:tcW w:type="dxa" w:w="4968"/>
            <w:vAlign w:val="center"/>
          </w:tcPr>
          <w:p>
            <w:r/>
            <w:r>
              <w:rPr>
                <w:b w:val="0"/>
                <w:sz w:val="18"/>
              </w:rPr>
              <w:t>Created summarize_msdial.py to extract matching statistics, annotations, and lipid-class counts from .mdpeak files.</w:t>
            </w:r>
          </w:p>
        </w:tc>
      </w:tr>
    </w:tbl>
    <w:p>
      <w:pPr>
        <w:pStyle w:val="Heading1"/>
      </w:pPr>
      <w:r>
        <w:t>17. Final Reproducible Workflow</w:t>
      </w:r>
    </w:p>
    <w:p>
      <w:r>
        <w:t>For a new sample, the intended reproducible sequence is:</w:t>
      </w:r>
    </w:p>
    <w:p>
      <w:r>
        <w:t>1. Convert Thermo RAW to mzML containing the required MS1–MS2 data.</w:t>
      </w:r>
    </w:p>
    <w:p>
      <w:r>
        <w:t>2. Place positive and negative mzML files in separate input directories.</w:t>
      </w:r>
    </w:p>
    <w:p>
      <w:r>
        <w:t>3. Confirm the MS-DIAL Console executable and version with ./MSDIALCUI --help.</w:t>
      </w:r>
    </w:p>
    <w:p>
      <w:r>
        <w:t>4. Confirm that the polarity-specific MSP library is available.</w:t>
      </w:r>
    </w:p>
    <w:p>
      <w:r>
        <w:t>5. Use the polarity-specific MS-DIAL method file.</w:t>
      </w:r>
    </w:p>
    <w:p>
      <w:r>
        <w:t>6. Run positive and negative modes separately with the MS-DIAL lcms console command.</w:t>
      </w:r>
    </w:p>
    <w:p>
      <w:r>
        <w:t>7. Inspect the resulting .mdpeak/.mdmsp/.mdproject outputs.</w:t>
      </w:r>
    </w:p>
    <w:p>
      <w:r>
        <w:t>8. Run summarize_msdial.py on the resulting .mdpeak files.</w:t>
      </w:r>
    </w:p>
    <w:p>
      <w:r>
        <w:t>9. Review sample-level matching statistics and lipid-class summaries.</w:t>
      </w:r>
    </w:p>
    <w:p>
      <w:r>
        <w:t>10. Treat annotations as putative MS/MS-supported annotations unless additional orthogonal evidence is available.</w:t>
      </w:r>
    </w:p>
    <w:p>
      <w:pPr>
        <w:pStyle w:val="Heading1"/>
      </w:pPr>
      <w:r>
        <w:t>18. Future Development</w:t>
      </w:r>
    </w:p>
    <w:p>
      <w:r>
        <w:t>The project README identifies the following future extensions: processing multiple patient samples, automated batch processing, population-level lipidomics analysis, quality-control reporting, statistical analysis across sample groups, pathway/enrichment analysis when an appropriate comparison design is available, and Nextflow workflow implementation.</w:t>
      </w:r>
    </w:p>
    <w:p>
      <w:r>
        <w:br w:type="page"/>
      </w:r>
    </w:p>
    <w:p>
      <w:pPr>
        <w:pStyle w:val="Heading1"/>
      </w:pPr>
      <w:r>
        <w:t>Appendix A — Key Commands</w:t>
      </w:r>
    </w:p>
    <w:p>
      <w:pPr>
        <w:spacing w:before="60" w:after="120"/>
        <w:ind w:left="360" w:right="360"/>
      </w:pPr>
      <w:r>
        <w:rPr>
          <w:rFonts w:ascii="Consolas" w:hAnsi="Consolas"/>
          <w:sz w:val="17"/>
        </w:rPr>
        <w:t># Enter MS-DIAL working directory</w:t>
        <w:br/>
        <w:t>cd ~/Lipidomics</w:t>
        <w:br/>
        <w:br/>
        <w:t># Install/extract</w:t>
        <w:br/>
        <w:t>unzip MSDIAL.console.v5.5.251021-linux-net8.zip</w:t>
        <w:br/>
        <w:br/>
        <w:t># Make executable</w:t>
        <w:br/>
        <w:t>chmod +x MSDIALCUI</w:t>
        <w:br/>
        <w:br/>
        <w:t># Verify installation</w:t>
        <w:br/>
        <w:t>./MSDIALCUI --help</w:t>
        <w:br/>
        <w:br/>
        <w:t># Check spectral libraries</w:t>
        <w:br/>
        <w:t>ls -lh ~/Lipidomics/*.msp ~/Lipidomics/*.lbm2</w:t>
        <w:br/>
        <w:br/>
        <w:t># Positive-mode run</w:t>
        <w:br/>
        <w:t>./MSDIALCUI lcms -i ./data/mzml_pos/ -o ./results_pos/ -m param_pos.txt -p</w:t>
        <w:br/>
        <w:br/>
        <w:t># Example mzML checks</w:t>
        <w:br/>
        <w:t>grep -m1 -A1 "spectrumList count" &lt;file&gt;.mzML</w:t>
        <w:br/>
        <w:t>grep 'name="ms level"' &lt;file&gt;.mzML | head</w:t>
        <w:br/>
        <w:t>grep 'value="2"' &lt;file&gt;.mzML | wc -l</w:t>
        <w:br/>
        <w:t>grep "&lt;spectrum " &lt;file&gt;.mzML | wc -l</w:t>
      </w:r>
    </w:p>
    <w:p>
      <w:pPr>
        <w:pStyle w:val="Heading1"/>
      </w:pPr>
      <w:r>
        <w:t>Appendix B — Key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File</w:t>
            </w:r>
          </w:p>
        </w:tc>
        <w:tc>
          <w:tcPr>
            <w:tcW w:type="dxa" w:w="4968"/>
            <w:vAlign w:val="center"/>
            <w:shd w:fill="D9EAF7"/>
          </w:tcPr>
          <w:p>
            <w:r/>
            <w:r>
              <w:rPr>
                <w:b/>
                <w:sz w:val="18"/>
              </w:rPr>
              <w:t>Function</w:t>
            </w:r>
          </w:p>
        </w:tc>
      </w:tr>
      <w:tr>
        <w:tc>
          <w:tcPr>
            <w:tcW w:type="dxa" w:w="4968"/>
            <w:vAlign w:val="center"/>
          </w:tcPr>
          <w:p>
            <w:r/>
            <w:r>
              <w:rPr>
                <w:b w:val="0"/>
                <w:sz w:val="18"/>
              </w:rPr>
              <w:t>MSDIALCUI</w:t>
            </w:r>
          </w:p>
        </w:tc>
        <w:tc>
          <w:tcPr>
            <w:tcW w:type="dxa" w:w="4968"/>
            <w:vAlign w:val="center"/>
          </w:tcPr>
          <w:p>
            <w:r/>
            <w:r>
              <w:rPr>
                <w:b w:val="0"/>
                <w:sz w:val="18"/>
              </w:rPr>
              <w:t>MS-DIAL Console executable</w:t>
            </w:r>
          </w:p>
        </w:tc>
      </w:tr>
      <w:tr>
        <w:tc>
          <w:tcPr>
            <w:tcW w:type="dxa" w:w="4968"/>
            <w:vAlign w:val="center"/>
          </w:tcPr>
          <w:p>
            <w:r/>
            <w:r>
              <w:rPr>
                <w:b w:val="0"/>
                <w:sz w:val="18"/>
              </w:rPr>
              <w:t>MSDIAL-InsilicoMSMS-Lipids-Pos.msp</w:t>
            </w:r>
          </w:p>
        </w:tc>
        <w:tc>
          <w:tcPr>
            <w:tcW w:type="dxa" w:w="4968"/>
            <w:vAlign w:val="center"/>
          </w:tcPr>
          <w:p>
            <w:r/>
            <w:r>
              <w:rPr>
                <w:b w:val="0"/>
                <w:sz w:val="18"/>
              </w:rPr>
              <w:t>Positive-mode lipid MSP library</w:t>
            </w:r>
          </w:p>
        </w:tc>
      </w:tr>
      <w:tr>
        <w:tc>
          <w:tcPr>
            <w:tcW w:type="dxa" w:w="4968"/>
            <w:vAlign w:val="center"/>
          </w:tcPr>
          <w:p>
            <w:r/>
            <w:r>
              <w:rPr>
                <w:b w:val="0"/>
                <w:sz w:val="18"/>
              </w:rPr>
              <w:t>MSDIAL-InsilicoMSMS-Lipids-Neg.msp</w:t>
            </w:r>
          </w:p>
        </w:tc>
        <w:tc>
          <w:tcPr>
            <w:tcW w:type="dxa" w:w="4968"/>
            <w:vAlign w:val="center"/>
          </w:tcPr>
          <w:p>
            <w:r/>
            <w:r>
              <w:rPr>
                <w:b w:val="0"/>
                <w:sz w:val="18"/>
              </w:rPr>
              <w:t>Negative-mode lipid MSP library</w:t>
            </w:r>
          </w:p>
        </w:tc>
      </w:tr>
      <w:tr>
        <w:tc>
          <w:tcPr>
            <w:tcW w:type="dxa" w:w="4968"/>
            <w:vAlign w:val="center"/>
          </w:tcPr>
          <w:p>
            <w:r/>
            <w:r>
              <w:rPr>
                <w:b w:val="0"/>
                <w:sz w:val="18"/>
              </w:rPr>
              <w:t>param_pos.txt</w:t>
            </w:r>
          </w:p>
        </w:tc>
        <w:tc>
          <w:tcPr>
            <w:tcW w:type="dxa" w:w="4968"/>
            <w:vAlign w:val="center"/>
          </w:tcPr>
          <w:p>
            <w:r/>
            <w:r>
              <w:rPr>
                <w:b w:val="0"/>
                <w:sz w:val="18"/>
              </w:rPr>
              <w:t>Positive-mode method file used in the recorded run</w:t>
            </w:r>
          </w:p>
        </w:tc>
      </w:tr>
      <w:tr>
        <w:tc>
          <w:tcPr>
            <w:tcW w:type="dxa" w:w="4968"/>
            <w:vAlign w:val="center"/>
          </w:tcPr>
          <w:p>
            <w:r/>
            <w:r>
              <w:rPr>
                <w:b w:val="0"/>
                <w:sz w:val="18"/>
              </w:rPr>
              <w:t>msdial5_lipidomics_POS_MSP.txt</w:t>
            </w:r>
          </w:p>
        </w:tc>
        <w:tc>
          <w:tcPr>
            <w:tcW w:type="dxa" w:w="4968"/>
            <w:vAlign w:val="center"/>
          </w:tcPr>
          <w:p>
            <w:r/>
            <w:r>
              <w:rPr>
                <w:b w:val="0"/>
                <w:sz w:val="18"/>
              </w:rPr>
              <w:t>Organized positive-mode parameter file</w:t>
            </w:r>
          </w:p>
        </w:tc>
      </w:tr>
      <w:tr>
        <w:tc>
          <w:tcPr>
            <w:tcW w:type="dxa" w:w="4968"/>
            <w:vAlign w:val="center"/>
          </w:tcPr>
          <w:p>
            <w:r/>
            <w:r>
              <w:rPr>
                <w:b w:val="0"/>
                <w:sz w:val="18"/>
              </w:rPr>
              <w:t>msdial5_lipidomics_NEG_MSP.txt</w:t>
            </w:r>
          </w:p>
        </w:tc>
        <w:tc>
          <w:tcPr>
            <w:tcW w:type="dxa" w:w="4968"/>
            <w:vAlign w:val="center"/>
          </w:tcPr>
          <w:p>
            <w:r/>
            <w:r>
              <w:rPr>
                <w:b w:val="0"/>
                <w:sz w:val="18"/>
              </w:rPr>
              <w:t>Organized negative-mode parameter file</w:t>
            </w:r>
          </w:p>
        </w:tc>
      </w:tr>
      <w:tr>
        <w:tc>
          <w:tcPr>
            <w:tcW w:type="dxa" w:w="4968"/>
            <w:vAlign w:val="center"/>
          </w:tcPr>
          <w:p>
            <w:r/>
            <w:r>
              <w:rPr>
                <w:b w:val="0"/>
                <w:sz w:val="18"/>
              </w:rPr>
              <w:t>summarize_msdial.py</w:t>
            </w:r>
          </w:p>
        </w:tc>
        <w:tc>
          <w:tcPr>
            <w:tcW w:type="dxa" w:w="4968"/>
            <w:vAlign w:val="center"/>
          </w:tcPr>
          <w:p>
            <w:r/>
            <w:r>
              <w:rPr>
                <w:b w:val="0"/>
                <w:sz w:val="18"/>
              </w:rPr>
              <w:t>Post-processing and summary-generation script</w:t>
            </w:r>
          </w:p>
        </w:tc>
      </w:tr>
      <w:tr>
        <w:tc>
          <w:tcPr>
            <w:tcW w:type="dxa" w:w="4968"/>
            <w:vAlign w:val="center"/>
          </w:tcPr>
          <w:p>
            <w:r/>
            <w:r>
              <w:rPr>
                <w:b w:val="0"/>
                <w:sz w:val="18"/>
              </w:rPr>
              <w:t>MSDIAL_sample_summary.tsv</w:t>
            </w:r>
          </w:p>
        </w:tc>
        <w:tc>
          <w:tcPr>
            <w:tcW w:type="dxa" w:w="4968"/>
            <w:vAlign w:val="center"/>
          </w:tcPr>
          <w:p>
            <w:r/>
            <w:r>
              <w:rPr>
                <w:b w:val="0"/>
                <w:sz w:val="18"/>
              </w:rPr>
              <w:t>Sample-level feature/matching summary</w:t>
            </w:r>
          </w:p>
        </w:tc>
      </w:tr>
      <w:tr>
        <w:tc>
          <w:tcPr>
            <w:tcW w:type="dxa" w:w="4968"/>
            <w:vAlign w:val="center"/>
          </w:tcPr>
          <w:p>
            <w:r/>
            <w:r>
              <w:rPr>
                <w:b w:val="0"/>
                <w:sz w:val="18"/>
              </w:rPr>
              <w:t>MSDIAL_MSMS_annotations.tsv</w:t>
            </w:r>
          </w:p>
        </w:tc>
        <w:tc>
          <w:tcPr>
            <w:tcW w:type="dxa" w:w="4968"/>
            <w:vAlign w:val="center"/>
          </w:tcPr>
          <w:p>
            <w:r/>
            <w:r>
              <w:rPr>
                <w:b w:val="0"/>
                <w:sz w:val="18"/>
              </w:rPr>
              <w:t>MS/MS-supported annotation table</w:t>
            </w:r>
          </w:p>
        </w:tc>
      </w:tr>
    </w:tbl>
    <w:p>
      <w:pPr>
        <w:pStyle w:val="Heading1"/>
      </w:pPr>
      <w:r>
        <w:t>Appendix C — Technical Notes</w:t>
      </w:r>
    </w:p>
    <w:p>
      <w:r>
        <w:t>The basic positive parameter file recorded an identification cut-off of 80, while the detailed MSP annotation settings use explicit matching tolerances and scoring parameters. For reproducibility, the full parameter files should be treated as the authoritative configuration rather than manually re-entering individual settings.</w:t>
      </w:r>
    </w:p>
    <w:p>
      <w:r>
        <w:t>The workflow deliberately keeps positive and negative modes separate. This avoids mixing polarity-specific adduct definitions and spectral libraries and makes the workflow suitable for later automation.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Bioinformatics – Lipidomics | Gayatri Samant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MS-DIAL Console Lipidomics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