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F4E5C"/>
          <w:spacing w:val="20"/>
          <w:sz w:val="30"/>
          <w:szCs w:val="30"/>
        </w:rPr>
        <w:t xml:space="preserve">MS-DIAL CONSOLE</w:t>
      </w:r>
    </w:p>
    <w:p>
      <w:pPr>
        <w:spacing w:after="260" w:before="40"/>
        <w:jc w:val="center"/>
      </w:pPr>
      <w:r>
        <w:rPr>
          <w:b/>
          <w:bCs/>
          <w:color w:val="1F4E5C"/>
          <w:spacing w:val="20"/>
          <w:sz w:val="30"/>
          <w:szCs w:val="30"/>
        </w:rPr>
        <w:t xml:space="preserve">LIPIDOMICS WORKFLOW</w:t>
      </w:r>
    </w:p>
    <w:p>
      <w:pPr>
        <w:spacing w:after="120"/>
        <w:jc w:val="center"/>
      </w:pPr>
      <w:r>
        <w:rPr>
          <w:i/>
          <w:iCs/>
          <w:color w:val="5B6770"/>
          <w:sz w:val="26"/>
          <w:szCs w:val="26"/>
        </w:rPr>
        <w:t xml:space="preserve">Technical Documentation and Reproducible Handover</w:t>
      </w:r>
    </w:p>
    <w:p>
      <w:pPr>
        <w:spacing w:after="560"/>
        <w:jc w:val="center"/>
      </w:pPr>
      <w:r>
        <w:rPr>
          <w:b/>
          <w:bCs/>
          <w:color w:val="1F4E5C"/>
          <w:sz w:val="22"/>
          <w:szCs w:val="22"/>
        </w:rPr>
        <w:t xml:space="preserve">Human Plasma  •  DDA  •  Positive and Negative Ionization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C" w:color="1F4E5C" w:val="clear"/>
            <w:tcMar>
              <w:top w:type="dxa" w:w="100"/>
              <w:left w:type="dxa" w:w="120"/>
              <w:bottom w:type="dxa" w:w="100"/>
              <w:right w:type="dxa" w:w="120"/>
            </w:tcMar>
            <w:vAlign w:val="center"/>
          </w:tcPr>
          <w:p>
            <w:r>
              <w:rPr>
                <w:b/>
                <w:bCs/>
                <w:color w:val="FFFFFF"/>
                <w:sz w:val="20"/>
                <w:szCs w:val="20"/>
              </w:rPr>
              <w:t xml:space="preserve">Item</w:t>
            </w:r>
          </w:p>
        </w:tc>
        <w:tc>
          <w:tcPr>
            <w:tcW w:type="dxa" w:w="6300"/>
            <w:shd w:fill="1F4E5C" w:color="1F4E5C" w:val="clear"/>
            <w:tcMar>
              <w:top w:type="dxa" w:w="100"/>
              <w:left w:type="dxa" w:w="120"/>
              <w:bottom w:type="dxa" w:w="100"/>
              <w:right w:type="dxa" w:w="120"/>
            </w:tcMar>
            <w:vAlign w:val="center"/>
          </w:tcPr>
          <w:p>
            <w:r>
              <w:rPr>
                <w:b/>
                <w:bCs/>
                <w:color w:val="FFFFFF"/>
                <w:sz w:val="20"/>
                <w:szCs w:val="20"/>
              </w:rPr>
              <w:t xml:space="preserve">Verified setting</w:t>
            </w:r>
          </w:p>
        </w:tc>
      </w:tr>
      <w:tr>
        <w:tc>
          <w:tcPr>
            <w:tcW w:type="dxa" w:w="3200"/>
            <w:tcMar>
              <w:top w:type="dxa" w:w="90"/>
              <w:left w:type="dxa" w:w="120"/>
              <w:bottom w:type="dxa" w:w="90"/>
              <w:right w:type="dxa" w:w="120"/>
            </w:tcMar>
            <w:vAlign w:val="center"/>
          </w:tcPr>
          <w:p>
            <w:r>
              <w:rPr>
                <w:sz w:val="20"/>
                <w:szCs w:val="20"/>
              </w:rPr>
              <w:t xml:space="preserve">Workflow software</w:t>
            </w:r>
          </w:p>
        </w:tc>
        <w:tc>
          <w:tcPr>
            <w:tcW w:type="dxa" w:w="6300"/>
            <w:tcMar>
              <w:top w:type="dxa" w:w="90"/>
              <w:left w:type="dxa" w:w="120"/>
              <w:bottom w:type="dxa" w:w="90"/>
              <w:right w:type="dxa" w:w="120"/>
            </w:tcMar>
            <w:vAlign w:val="center"/>
          </w:tcPr>
          <w:p>
            <w:r>
              <w:rPr>
                <w:sz w:val="20"/>
                <w:szCs w:val="20"/>
              </w:rPr>
              <w:t xml:space="preserve">MS-DIAL Console</w:t>
            </w:r>
          </w:p>
        </w:tc>
      </w:tr>
      <w:tr>
        <w:tc>
          <w:tcPr>
            <w:tcW w:type="dxa" w:w="3200"/>
            <w:shd w:fill="F7F9F9" w:val="clear"/>
            <w:tcMar>
              <w:top w:type="dxa" w:w="90"/>
              <w:left w:type="dxa" w:w="120"/>
              <w:bottom w:type="dxa" w:w="90"/>
              <w:right w:type="dxa" w:w="120"/>
            </w:tcMar>
            <w:vAlign w:val="center"/>
          </w:tcPr>
          <w:p>
            <w:r>
              <w:rPr>
                <w:sz w:val="20"/>
                <w:szCs w:val="20"/>
              </w:rPr>
              <w:t xml:space="preserve">Installed version</w:t>
            </w:r>
          </w:p>
        </w:tc>
        <w:tc>
          <w:tcPr>
            <w:tcW w:type="dxa" w:w="6300"/>
            <w:shd w:fill="F7F9F9" w:val="clear"/>
            <w:tcMar>
              <w:top w:type="dxa" w:w="90"/>
              <w:left w:type="dxa" w:w="120"/>
              <w:bottom w:type="dxa" w:w="90"/>
              <w:right w:type="dxa" w:w="120"/>
            </w:tcMar>
            <w:vAlign w:val="center"/>
          </w:tcPr>
          <w:p>
            <w:r>
              <w:rPr>
                <w:sz w:val="20"/>
                <w:szCs w:val="20"/>
              </w:rPr>
              <w:t xml:space="preserve">5.5.251021</w:t>
            </w:r>
          </w:p>
        </w:tc>
      </w:tr>
      <w:tr>
        <w:tc>
          <w:tcPr>
            <w:tcW w:type="dxa" w:w="3200"/>
            <w:tcMar>
              <w:top w:type="dxa" w:w="90"/>
              <w:left w:type="dxa" w:w="120"/>
              <w:bottom w:type="dxa" w:w="90"/>
              <w:right w:type="dxa" w:w="120"/>
            </w:tcMar>
            <w:vAlign w:val="center"/>
          </w:tcPr>
          <w:p>
            <w:r>
              <w:rPr>
                <w:sz w:val="20"/>
                <w:szCs w:val="20"/>
              </w:rPr>
              <w:t xml:space="preserve">Input</w:t>
            </w:r>
          </w:p>
        </w:tc>
        <w:tc>
          <w:tcPr>
            <w:tcW w:type="dxa" w:w="6300"/>
            <w:tcMar>
              <w:top w:type="dxa" w:w="90"/>
              <w:left w:type="dxa" w:w="120"/>
              <w:bottom w:type="dxa" w:w="90"/>
              <w:right w:type="dxa" w:w="120"/>
            </w:tcMar>
            <w:vAlign w:val="center"/>
          </w:tcPr>
          <w:p>
            <w:r>
              <w:rPr>
                <w:sz w:val="20"/>
                <w:szCs w:val="20"/>
              </w:rPr>
              <w:t xml:space="preserve">mzML, MS1–MS2</w:t>
            </w:r>
          </w:p>
        </w:tc>
      </w:tr>
      <w:tr>
        <w:tc>
          <w:tcPr>
            <w:tcW w:type="dxa" w:w="3200"/>
            <w:shd w:fill="F7F9F9" w:val="clear"/>
            <w:tcMar>
              <w:top w:type="dxa" w:w="90"/>
              <w:left w:type="dxa" w:w="120"/>
              <w:bottom w:type="dxa" w:w="90"/>
              <w:right w:type="dxa" w:w="120"/>
            </w:tcMar>
            <w:vAlign w:val="center"/>
          </w:tcPr>
          <w:p>
            <w:r>
              <w:rPr>
                <w:sz w:val="20"/>
                <w:szCs w:val="20"/>
              </w:rPr>
              <w:t xml:space="preserve">Data type</w:t>
            </w:r>
          </w:p>
        </w:tc>
        <w:tc>
          <w:tcPr>
            <w:tcW w:type="dxa" w:w="6300"/>
            <w:shd w:fill="F7F9F9" w:val="clear"/>
            <w:tcMar>
              <w:top w:type="dxa" w:w="90"/>
              <w:left w:type="dxa" w:w="120"/>
              <w:bottom w:type="dxa" w:w="90"/>
              <w:right w:type="dxa" w:w="120"/>
            </w:tcMar>
            <w:vAlign w:val="center"/>
          </w:tcPr>
          <w:p>
            <w:r>
              <w:rPr>
                <w:sz w:val="20"/>
                <w:szCs w:val="20"/>
              </w:rPr>
              <w:t xml:space="preserve">Human plasma lipidomics</w:t>
            </w:r>
          </w:p>
        </w:tc>
      </w:tr>
      <w:tr>
        <w:tc>
          <w:tcPr>
            <w:tcW w:type="dxa" w:w="3200"/>
            <w:tcMar>
              <w:top w:type="dxa" w:w="90"/>
              <w:left w:type="dxa" w:w="120"/>
              <w:bottom w:type="dxa" w:w="90"/>
              <w:right w:type="dxa" w:w="120"/>
            </w:tcMar>
            <w:vAlign w:val="center"/>
          </w:tcPr>
          <w:p>
            <w:r>
              <w:rPr>
                <w:sz w:val="20"/>
                <w:szCs w:val="20"/>
              </w:rPr>
              <w:t xml:space="preserve">Acquisition</w:t>
            </w:r>
          </w:p>
        </w:tc>
        <w:tc>
          <w:tcPr>
            <w:tcW w:type="dxa" w:w="6300"/>
            <w:tcMar>
              <w:top w:type="dxa" w:w="90"/>
              <w:left w:type="dxa" w:w="120"/>
              <w:bottom w:type="dxa" w:w="90"/>
              <w:right w:type="dxa" w:w="120"/>
            </w:tcMar>
            <w:vAlign w:val="center"/>
          </w:tcPr>
          <w:p>
            <w:r>
              <w:rPr>
                <w:sz w:val="20"/>
                <w:szCs w:val="20"/>
              </w:rPr>
              <w:t xml:space="preserve">DDA</w:t>
            </w:r>
          </w:p>
        </w:tc>
      </w:tr>
      <w:tr>
        <w:tc>
          <w:tcPr>
            <w:tcW w:type="dxa" w:w="3200"/>
            <w:shd w:fill="F7F9F9" w:val="clear"/>
            <w:tcMar>
              <w:top w:type="dxa" w:w="90"/>
              <w:left w:type="dxa" w:w="120"/>
              <w:bottom w:type="dxa" w:w="90"/>
              <w:right w:type="dxa" w:w="120"/>
            </w:tcMar>
            <w:vAlign w:val="center"/>
          </w:tcPr>
          <w:p>
            <w:r>
              <w:rPr>
                <w:sz w:val="20"/>
                <w:szCs w:val="20"/>
              </w:rPr>
              <w:t xml:space="preserve">Ionization</w:t>
            </w:r>
          </w:p>
        </w:tc>
        <w:tc>
          <w:tcPr>
            <w:tcW w:type="dxa" w:w="6300"/>
            <w:shd w:fill="F7F9F9" w:val="clear"/>
            <w:tcMar>
              <w:top w:type="dxa" w:w="90"/>
              <w:left w:type="dxa" w:w="120"/>
              <w:bottom w:type="dxa" w:w="90"/>
              <w:right w:type="dxa" w:w="120"/>
            </w:tcMar>
            <w:vAlign w:val="center"/>
          </w:tcPr>
          <w:p>
            <w:r>
              <w:rPr>
                <w:sz w:val="20"/>
                <w:szCs w:val="20"/>
              </w:rPr>
              <w:t xml:space="preserve">Positive and Negative; processed separately</w:t>
            </w:r>
          </w:p>
        </w:tc>
      </w:tr>
      <w:tr>
        <w:tc>
          <w:tcPr>
            <w:tcW w:type="dxa" w:w="3200"/>
            <w:tcMar>
              <w:top w:type="dxa" w:w="90"/>
              <w:left w:type="dxa" w:w="120"/>
              <w:bottom w:type="dxa" w:w="90"/>
              <w:right w:type="dxa" w:w="120"/>
            </w:tcMar>
            <w:vAlign w:val="center"/>
          </w:tcPr>
          <w:p>
            <w:r>
              <w:rPr>
                <w:sz w:val="20"/>
                <w:szCs w:val="20"/>
              </w:rPr>
              <w:t xml:space="preserve">Spectral library approach</w:t>
            </w:r>
          </w:p>
        </w:tc>
        <w:tc>
          <w:tcPr>
            <w:tcW w:type="dxa" w:w="6300"/>
            <w:tcMar>
              <w:top w:type="dxa" w:w="90"/>
              <w:left w:type="dxa" w:w="120"/>
              <w:bottom w:type="dxa" w:w="90"/>
              <w:right w:type="dxa" w:w="120"/>
            </w:tcMar>
            <w:vAlign w:val="center"/>
          </w:tcPr>
          <w:p>
            <w:r>
              <w:rPr>
                <w:sz w:val="20"/>
                <w:szCs w:val="20"/>
              </w:rPr>
              <w:t xml:space="preserve">MSP lipid spectral libraries</w:t>
            </w:r>
          </w:p>
        </w:tc>
      </w:tr>
      <w:tr>
        <w:tc>
          <w:tcPr>
            <w:tcW w:type="dxa" w:w="3200"/>
            <w:shd w:fill="F7F9F9" w:val="clear"/>
            <w:tcMar>
              <w:top w:type="dxa" w:w="90"/>
              <w:left w:type="dxa" w:w="120"/>
              <w:bottom w:type="dxa" w:w="90"/>
              <w:right w:type="dxa" w:w="120"/>
            </w:tcMar>
            <w:vAlign w:val="center"/>
          </w:tcPr>
          <w:p>
            <w:r>
              <w:rPr>
                <w:sz w:val="20"/>
                <w:szCs w:val="20"/>
              </w:rPr>
              <w:t xml:space="preserve">Validation sample</w:t>
            </w:r>
          </w:p>
        </w:tc>
        <w:tc>
          <w:tcPr>
            <w:tcW w:type="dxa" w:w="6300"/>
            <w:shd w:fill="F7F9F9" w:val="clear"/>
            <w:tcMar>
              <w:top w:type="dxa" w:w="90"/>
              <w:left w:type="dxa" w:w="120"/>
              <w:bottom w:type="dxa" w:w="90"/>
              <w:right w:type="dxa" w:w="120"/>
            </w:tcMar>
            <w:vAlign w:val="center"/>
          </w:tcPr>
          <w:p>
            <w:r>
              <w:rPr>
                <w:sz w:val="20"/>
                <w:szCs w:val="20"/>
              </w:rPr>
              <w:t xml:space="preserve">VZ0000099</w:t>
            </w:r>
          </w:p>
        </w:tc>
      </w:tr>
      <w:tr>
        <w:tc>
          <w:tcPr>
            <w:tcW w:type="dxa" w:w="3200"/>
            <w:tcMar>
              <w:top w:type="dxa" w:w="90"/>
              <w:left w:type="dxa" w:w="120"/>
              <w:bottom w:type="dxa" w:w="90"/>
              <w:right w:type="dxa" w:w="120"/>
            </w:tcMar>
            <w:vAlign w:val="center"/>
          </w:tcPr>
          <w:p>
            <w:r>
              <w:rPr>
                <w:sz w:val="20"/>
                <w:szCs w:val="20"/>
              </w:rPr>
              <w:t xml:space="preserve">Post-processing</w:t>
            </w:r>
          </w:p>
        </w:tc>
        <w:tc>
          <w:tcPr>
            <w:tcW w:type="dxa" w:w="6300"/>
            <w:tcMar>
              <w:top w:type="dxa" w:w="90"/>
              <w:left w:type="dxa" w:w="120"/>
              <w:bottom w:type="dxa" w:w="90"/>
              <w:right w:type="dxa" w:w="120"/>
            </w:tcMar>
            <w:vAlign w:val="center"/>
          </w:tcPr>
          <w:p>
            <w:r>
              <w:rPr>
                <w:sz w:val="20"/>
                <w:szCs w:val="20"/>
              </w:rPr>
              <w:t xml:space="preserve">Python 3 summary script</w:t>
            </w:r>
          </w:p>
        </w:tc>
      </w:tr>
    </w:tbl>
    <w:p>
      <w:pPr>
        <w:spacing w:after="500"/>
      </w:pPr>
    </w:p>
    <w:p>
      <w:pPr>
        <w:spacing w:after="20"/>
        <w:jc w:val="center"/>
      </w:pPr>
      <w:r>
        <w:rPr>
          <w:b/>
          <w:bCs/>
          <w:sz w:val="22"/>
          <w:szCs w:val="22"/>
        </w:rPr>
        <w:t xml:space="preserve">Prepared by Gayatri Samant</w:t>
      </w:r>
    </w:p>
    <w:p>
      <w:pPr>
        <w:jc w:val="center"/>
      </w:pPr>
      <w:r>
        <w:rPr>
          <w:color w:val="5B6770"/>
          <w:sz w:val="21"/>
          <w:szCs w:val="21"/>
        </w:rPr>
        <w:t xml:space="preserve">Bioinformatics – Lipidomics</w:t>
      </w:r>
    </w:p>
    <w:p>
      <w:r>
        <w:br w:type="page"/>
      </w:r>
    </w:p>
    <w:p>
      <w:pPr>
        <w:pStyle w:val="Heading1"/>
        <w:pBdr>
          <w:bottom w:val="single" w:color="1F4E5C" w:sz="8" w:space="4"/>
        </w:pBdr>
        <w:spacing w:after="200" w:before="480"/>
      </w:pPr>
      <w:r>
        <w:rPr>
          <w:b/>
          <w:bCs/>
          <w:color w:val="1F4E5C"/>
          <w:sz w:val="30"/>
          <w:szCs w:val="30"/>
        </w:rPr>
        <w:t xml:space="preserve">1. Purpose and Scope</w:t>
      </w:r>
    </w:p>
    <w:p>
      <w:pPr>
        <w:spacing w:after="160" w:line="288"/>
      </w:pPr>
      <w:r>
        <w:rPr>
          <w:sz w:val="22"/>
          <w:szCs w:val="22"/>
        </w:rPr>
        <w:t xml:space="preserve">This document records the MS-DIAL Console workflow that was implemented and tested for untargeted human plasma lipidomics. It is intended as a technical handover and reproducibility document, covering installation, library setup, command-line execution, processing parameters, troubleshooting, result generation, and post-processing.</w:t>
      </w:r>
    </w:p>
    <w:p>
      <w:pPr>
        <w:spacing w:after="160" w:line="288"/>
      </w:pPr>
      <w:r>
        <w:rPr>
          <w:b/>
          <w:bCs/>
          <w:sz w:val="22"/>
          <w:szCs w:val="22"/>
        </w:rPr>
        <w:t xml:space="preserve">Scope: </w:t>
      </w:r>
      <w:r>
        <w:rPr>
          <w:sz w:val="22"/>
          <w:szCs w:val="22"/>
        </w:rPr>
        <w:t xml:space="preserve">MS-DIAL Console processing and MS/MS-supported lipid annotation only.</w:t>
      </w:r>
    </w:p>
    <w:p>
      <w:pPr>
        <w:spacing w:after="160" w:line="288"/>
      </w:pPr>
      <w:r>
        <w:rPr>
          <w:b/>
          <w:bCs/>
          <w:sz w:val="22"/>
          <w:szCs w:val="22"/>
        </w:rPr>
        <w:t xml:space="preserve">Out of scope: </w:t>
      </w:r>
      <w:r>
        <w:rPr>
          <w:sz w:val="22"/>
          <w:szCs w:val="22"/>
        </w:rPr>
        <w:t xml:space="preserve">LipidSearch, LIPID MAPS, LIPEA, and other unrelated lipidomics workflows are intentionally not included.</w:t>
      </w:r>
    </w:p>
    <w:p>
      <w:pPr>
        <w:pBdr>
          <w:left w:val="single" w:color="1F4E5C" w:sz="18" w:space="8"/>
        </w:pBdr>
        <w:shd w:fill="EAF2F3" w:val="clear"/>
        <w:spacing w:after="200" w:before="80" w:line="276"/>
        <w:ind w:left="120"/>
      </w:pPr>
      <w:r>
        <w:rPr>
          <w:b/>
          <w:bCs/>
          <w:color w:val="1F4E5C"/>
          <w:sz w:val="21"/>
          <w:szCs w:val="21"/>
        </w:rPr>
        <w:t xml:space="preserve">Interpretation: </w:t>
      </w:r>
      <w:r>
        <w:rPr>
          <w:sz w:val="21"/>
          <w:szCs w:val="21"/>
        </w:rPr>
        <w:t xml:space="preserve">The VZ0000099 results are workflow-validation results. The annotations are putative MS/MS-supported annotations and are not presented as definitive structural identifications or biological conclusions.</w:t>
      </w:r>
    </w:p>
    <w:p>
      <w:pPr>
        <w:pStyle w:val="Heading1"/>
        <w:pBdr>
          <w:bottom w:val="single" w:color="1F4E5C" w:sz="8" w:space="4"/>
        </w:pBdr>
        <w:spacing w:after="200" w:before="480"/>
      </w:pPr>
      <w:r>
        <w:rPr>
          <w:b/>
          <w:bCs/>
          <w:color w:val="1F4E5C"/>
          <w:sz w:val="30"/>
          <w:szCs w:val="30"/>
        </w:rPr>
        <w:t xml:space="preserve">2. Experimental and Computational Setup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5C" w:color="1F4E5C" w:val="clear"/>
            <w:tcMar>
              <w:top w:type="dxa" w:w="100"/>
              <w:left w:type="dxa" w:w="120"/>
              <w:bottom w:type="dxa" w:w="100"/>
              <w:right w:type="dxa" w:w="120"/>
            </w:tcMar>
            <w:vAlign w:val="center"/>
          </w:tcPr>
          <w:p>
            <w:r>
              <w:rPr>
                <w:b/>
                <w:bCs/>
                <w:color w:val="FFFFFF"/>
                <w:sz w:val="20"/>
                <w:szCs w:val="20"/>
              </w:rPr>
              <w:t xml:space="preserve">Parameter</w:t>
            </w:r>
          </w:p>
        </w:tc>
        <w:tc>
          <w:tcPr>
            <w:tcW w:type="dxa" w:w="5700"/>
            <w:shd w:fill="1F4E5C" w:color="1F4E5C" w:val="clear"/>
            <w:tcMar>
              <w:top w:type="dxa" w:w="100"/>
              <w:left w:type="dxa" w:w="120"/>
              <w:bottom w:type="dxa" w:w="100"/>
              <w:right w:type="dxa" w:w="120"/>
            </w:tcMar>
            <w:vAlign w:val="center"/>
          </w:tcPr>
          <w:p>
            <w:r>
              <w:rPr>
                <w:b/>
                <w:bCs/>
                <w:color w:val="FFFFFF"/>
                <w:sz w:val="20"/>
                <w:szCs w:val="20"/>
              </w:rPr>
              <w:t xml:space="preserve">Setting</w:t>
            </w:r>
          </w:p>
        </w:tc>
      </w:tr>
      <w:tr>
        <w:tc>
          <w:tcPr>
            <w:tcW w:type="dxa" w:w="3800"/>
            <w:tcMar>
              <w:top w:type="dxa" w:w="90"/>
              <w:left w:type="dxa" w:w="120"/>
              <w:bottom w:type="dxa" w:w="90"/>
              <w:right w:type="dxa" w:w="120"/>
            </w:tcMar>
            <w:vAlign w:val="center"/>
          </w:tcPr>
          <w:p>
            <w:r>
              <w:rPr>
                <w:sz w:val="20"/>
                <w:szCs w:val="20"/>
              </w:rPr>
              <w:t xml:space="preserve">Sample type</w:t>
            </w:r>
          </w:p>
        </w:tc>
        <w:tc>
          <w:tcPr>
            <w:tcW w:type="dxa" w:w="5700"/>
            <w:tcMar>
              <w:top w:type="dxa" w:w="90"/>
              <w:left w:type="dxa" w:w="120"/>
              <w:bottom w:type="dxa" w:w="90"/>
              <w:right w:type="dxa" w:w="120"/>
            </w:tcMar>
            <w:vAlign w:val="center"/>
          </w:tcPr>
          <w:p>
            <w:r>
              <w:rPr>
                <w:sz w:val="20"/>
                <w:szCs w:val="20"/>
              </w:rPr>
              <w:t xml:space="preserve">Human plasma</w:t>
            </w:r>
          </w:p>
        </w:tc>
      </w:tr>
      <w:tr>
        <w:tc>
          <w:tcPr>
            <w:tcW w:type="dxa" w:w="3800"/>
            <w:shd w:fill="F7F9F9" w:val="clear"/>
            <w:tcMar>
              <w:top w:type="dxa" w:w="90"/>
              <w:left w:type="dxa" w:w="120"/>
              <w:bottom w:type="dxa" w:w="90"/>
              <w:right w:type="dxa" w:w="120"/>
            </w:tcMar>
            <w:vAlign w:val="center"/>
          </w:tcPr>
          <w:p>
            <w:r>
              <w:rPr>
                <w:sz w:val="20"/>
                <w:szCs w:val="20"/>
              </w:rPr>
              <w:t xml:space="preserve">Instrument</w:t>
            </w:r>
          </w:p>
        </w:tc>
        <w:tc>
          <w:tcPr>
            <w:tcW w:type="dxa" w:w="5700"/>
            <w:shd w:fill="F7F9F9" w:val="clear"/>
            <w:tcMar>
              <w:top w:type="dxa" w:w="90"/>
              <w:left w:type="dxa" w:w="120"/>
              <w:bottom w:type="dxa" w:w="90"/>
              <w:right w:type="dxa" w:w="120"/>
            </w:tcMar>
            <w:vAlign w:val="center"/>
          </w:tcPr>
          <w:p>
            <w:r>
              <w:rPr>
                <w:sz w:val="20"/>
                <w:szCs w:val="20"/>
              </w:rPr>
              <w:t xml:space="preserve">Thermo Orbitrap Exploris 240</w:t>
            </w:r>
          </w:p>
        </w:tc>
      </w:tr>
      <w:tr>
        <w:tc>
          <w:tcPr>
            <w:tcW w:type="dxa" w:w="3800"/>
            <w:tcMar>
              <w:top w:type="dxa" w:w="90"/>
              <w:left w:type="dxa" w:w="120"/>
              <w:bottom w:type="dxa" w:w="90"/>
              <w:right w:type="dxa" w:w="120"/>
            </w:tcMar>
            <w:vAlign w:val="center"/>
          </w:tcPr>
          <w:p>
            <w:r>
              <w:rPr>
                <w:sz w:val="20"/>
                <w:szCs w:val="20"/>
              </w:rPr>
              <w:t xml:space="preserve">Acquisition</w:t>
            </w:r>
          </w:p>
        </w:tc>
        <w:tc>
          <w:tcPr>
            <w:tcW w:type="dxa" w:w="5700"/>
            <w:tcMar>
              <w:top w:type="dxa" w:w="90"/>
              <w:left w:type="dxa" w:w="120"/>
              <w:bottom w:type="dxa" w:w="90"/>
              <w:right w:type="dxa" w:w="120"/>
            </w:tcMar>
            <w:vAlign w:val="center"/>
          </w:tcPr>
          <w:p>
            <w:r>
              <w:rPr>
                <w:sz w:val="20"/>
                <w:szCs w:val="20"/>
              </w:rPr>
              <w:t xml:space="preserve">Data-dependent acquisition (DDA)</w:t>
            </w:r>
          </w:p>
        </w:tc>
      </w:tr>
      <w:tr>
        <w:tc>
          <w:tcPr>
            <w:tcW w:type="dxa" w:w="3800"/>
            <w:shd w:fill="F7F9F9" w:val="clear"/>
            <w:tcMar>
              <w:top w:type="dxa" w:w="90"/>
              <w:left w:type="dxa" w:w="120"/>
              <w:bottom w:type="dxa" w:w="90"/>
              <w:right w:type="dxa" w:w="120"/>
            </w:tcMar>
            <w:vAlign w:val="center"/>
          </w:tcPr>
          <w:p>
            <w:r>
              <w:rPr>
                <w:sz w:val="20"/>
                <w:szCs w:val="20"/>
              </w:rPr>
              <w:t xml:space="preserve">Ionization</w:t>
            </w:r>
          </w:p>
        </w:tc>
        <w:tc>
          <w:tcPr>
            <w:tcW w:type="dxa" w:w="5700"/>
            <w:shd w:fill="F7F9F9" w:val="clear"/>
            <w:tcMar>
              <w:top w:type="dxa" w:w="90"/>
              <w:left w:type="dxa" w:w="120"/>
              <w:bottom w:type="dxa" w:w="90"/>
              <w:right w:type="dxa" w:w="120"/>
            </w:tcMar>
            <w:vAlign w:val="center"/>
          </w:tcPr>
          <w:p>
            <w:r>
              <w:rPr>
                <w:sz w:val="20"/>
                <w:szCs w:val="20"/>
              </w:rPr>
              <w:t xml:space="preserve">Positive and Negative</w:t>
            </w:r>
          </w:p>
        </w:tc>
      </w:tr>
      <w:tr>
        <w:tc>
          <w:tcPr>
            <w:tcW w:type="dxa" w:w="3800"/>
            <w:tcMar>
              <w:top w:type="dxa" w:w="90"/>
              <w:left w:type="dxa" w:w="120"/>
              <w:bottom w:type="dxa" w:w="90"/>
              <w:right w:type="dxa" w:w="120"/>
            </w:tcMar>
            <w:vAlign w:val="center"/>
          </w:tcPr>
          <w:p>
            <w:r>
              <w:rPr>
                <w:sz w:val="20"/>
                <w:szCs w:val="20"/>
              </w:rPr>
              <w:t xml:space="preserve">Mobile phase additive</w:t>
            </w:r>
          </w:p>
        </w:tc>
        <w:tc>
          <w:tcPr>
            <w:tcW w:type="dxa" w:w="5700"/>
            <w:tcMar>
              <w:top w:type="dxa" w:w="90"/>
              <w:left w:type="dxa" w:w="120"/>
              <w:bottom w:type="dxa" w:w="90"/>
              <w:right w:type="dxa" w:w="120"/>
            </w:tcMar>
            <w:vAlign w:val="center"/>
          </w:tcPr>
          <w:p>
            <w:r>
              <w:rPr>
                <w:sz w:val="20"/>
                <w:szCs w:val="20"/>
              </w:rPr>
              <w:t xml:space="preserve">10 mM ammonium formate + 0.1% formic acid</w:t>
            </w:r>
          </w:p>
        </w:tc>
      </w:tr>
      <w:tr>
        <w:tc>
          <w:tcPr>
            <w:tcW w:type="dxa" w:w="3800"/>
            <w:shd w:fill="F7F9F9" w:val="clear"/>
            <w:tcMar>
              <w:top w:type="dxa" w:w="90"/>
              <w:left w:type="dxa" w:w="120"/>
              <w:bottom w:type="dxa" w:w="90"/>
              <w:right w:type="dxa" w:w="120"/>
            </w:tcMar>
            <w:vAlign w:val="center"/>
          </w:tcPr>
          <w:p>
            <w:r>
              <w:rPr>
                <w:sz w:val="20"/>
                <w:szCs w:val="20"/>
              </w:rPr>
              <w:t xml:space="preserve">Input format</w:t>
            </w:r>
          </w:p>
        </w:tc>
        <w:tc>
          <w:tcPr>
            <w:tcW w:type="dxa" w:w="5700"/>
            <w:shd w:fill="F7F9F9" w:val="clear"/>
            <w:tcMar>
              <w:top w:type="dxa" w:w="90"/>
              <w:left w:type="dxa" w:w="120"/>
              <w:bottom w:type="dxa" w:w="90"/>
              <w:right w:type="dxa" w:w="120"/>
            </w:tcMar>
            <w:vAlign w:val="center"/>
          </w:tcPr>
          <w:p>
            <w:r>
              <w:rPr>
                <w:sz w:val="20"/>
                <w:szCs w:val="20"/>
              </w:rPr>
              <w:t xml:space="preserve">mzML</w:t>
            </w:r>
          </w:p>
        </w:tc>
      </w:tr>
      <w:tr>
        <w:tc>
          <w:tcPr>
            <w:tcW w:type="dxa" w:w="3800"/>
            <w:tcMar>
              <w:top w:type="dxa" w:w="90"/>
              <w:left w:type="dxa" w:w="120"/>
              <w:bottom w:type="dxa" w:w="90"/>
              <w:right w:type="dxa" w:w="120"/>
            </w:tcMar>
            <w:vAlign w:val="center"/>
          </w:tcPr>
          <w:p>
            <w:r>
              <w:rPr>
                <w:sz w:val="20"/>
                <w:szCs w:val="20"/>
              </w:rPr>
              <w:t xml:space="preserve">MS levels</w:t>
            </w:r>
          </w:p>
        </w:tc>
        <w:tc>
          <w:tcPr>
            <w:tcW w:type="dxa" w:w="5700"/>
            <w:tcMar>
              <w:top w:type="dxa" w:w="90"/>
              <w:left w:type="dxa" w:w="120"/>
              <w:bottom w:type="dxa" w:w="90"/>
              <w:right w:type="dxa" w:w="120"/>
            </w:tcMar>
            <w:vAlign w:val="center"/>
          </w:tcPr>
          <w:p>
            <w:r>
              <w:rPr>
                <w:sz w:val="20"/>
                <w:szCs w:val="20"/>
              </w:rPr>
              <w:t xml:space="preserve">MS1–MS2</w:t>
            </w:r>
          </w:p>
        </w:tc>
      </w:tr>
      <w:tr>
        <w:tc>
          <w:tcPr>
            <w:tcW w:type="dxa" w:w="3800"/>
            <w:shd w:fill="F7F9F9" w:val="clear"/>
            <w:tcMar>
              <w:top w:type="dxa" w:w="90"/>
              <w:left w:type="dxa" w:w="120"/>
              <w:bottom w:type="dxa" w:w="90"/>
              <w:right w:type="dxa" w:w="120"/>
            </w:tcMar>
            <w:vAlign w:val="center"/>
          </w:tcPr>
          <w:p>
            <w:r>
              <w:rPr>
                <w:sz w:val="20"/>
                <w:szCs w:val="20"/>
              </w:rPr>
              <w:t xml:space="preserve">Processing software</w:t>
            </w:r>
          </w:p>
        </w:tc>
        <w:tc>
          <w:tcPr>
            <w:tcW w:type="dxa" w:w="5700"/>
            <w:shd w:fill="F7F9F9" w:val="clear"/>
            <w:tcMar>
              <w:top w:type="dxa" w:w="90"/>
              <w:left w:type="dxa" w:w="120"/>
              <w:bottom w:type="dxa" w:w="90"/>
              <w:right w:type="dxa" w:w="120"/>
            </w:tcMar>
            <w:vAlign w:val="center"/>
          </w:tcPr>
          <w:p>
            <w:r>
              <w:rPr>
                <w:sz w:val="20"/>
                <w:szCs w:val="20"/>
              </w:rPr>
              <w:t xml:space="preserve">MS-DIAL Console</w:t>
            </w:r>
          </w:p>
        </w:tc>
      </w:tr>
      <w:tr>
        <w:tc>
          <w:tcPr>
            <w:tcW w:type="dxa" w:w="3800"/>
            <w:tcMar>
              <w:top w:type="dxa" w:w="90"/>
              <w:left w:type="dxa" w:w="120"/>
              <w:bottom w:type="dxa" w:w="90"/>
              <w:right w:type="dxa" w:w="120"/>
            </w:tcMar>
            <w:vAlign w:val="center"/>
          </w:tcPr>
          <w:p>
            <w:r>
              <w:rPr>
                <w:sz w:val="20"/>
                <w:szCs w:val="20"/>
              </w:rPr>
              <w:t xml:space="preserve">Annotation library</w:t>
            </w:r>
          </w:p>
        </w:tc>
        <w:tc>
          <w:tcPr>
            <w:tcW w:type="dxa" w:w="5700"/>
            <w:tcMar>
              <w:top w:type="dxa" w:w="90"/>
              <w:left w:type="dxa" w:w="120"/>
              <w:bottom w:type="dxa" w:w="90"/>
              <w:right w:type="dxa" w:w="120"/>
            </w:tcMar>
            <w:vAlign w:val="center"/>
          </w:tcPr>
          <w:p>
            <w:r>
              <w:rPr>
                <w:sz w:val="20"/>
                <w:szCs w:val="20"/>
              </w:rPr>
              <w:t xml:space="preserve">MSP lipid spectral library</w:t>
            </w:r>
          </w:p>
        </w:tc>
      </w:tr>
      <w:tr>
        <w:tc>
          <w:tcPr>
            <w:tcW w:type="dxa" w:w="3800"/>
            <w:shd w:fill="F7F9F9" w:val="clear"/>
            <w:tcMar>
              <w:top w:type="dxa" w:w="90"/>
              <w:left w:type="dxa" w:w="120"/>
              <w:bottom w:type="dxa" w:w="90"/>
              <w:right w:type="dxa" w:w="120"/>
            </w:tcMar>
            <w:vAlign w:val="center"/>
          </w:tcPr>
          <w:p>
            <w:r>
              <w:rPr>
                <w:sz w:val="20"/>
                <w:szCs w:val="20"/>
              </w:rPr>
              <w:t xml:space="preserve">Operating environment</w:t>
            </w:r>
          </w:p>
        </w:tc>
        <w:tc>
          <w:tcPr>
            <w:tcW w:type="dxa" w:w="5700"/>
            <w:shd w:fill="F7F9F9" w:val="clear"/>
            <w:tcMar>
              <w:top w:type="dxa" w:w="90"/>
              <w:left w:type="dxa" w:w="120"/>
              <w:bottom w:type="dxa" w:w="90"/>
              <w:right w:type="dxa" w:w="120"/>
            </w:tcMar>
            <w:vAlign w:val="center"/>
          </w:tcPr>
          <w:p>
            <w:r>
              <w:rPr>
                <w:sz w:val="20"/>
                <w:szCs w:val="20"/>
              </w:rPr>
              <w:t xml:space="preserve">Ubuntu/WSL</w:t>
            </w:r>
          </w:p>
        </w:tc>
      </w:tr>
    </w:tbl>
    <w:p>
      <w:pPr>
        <w:spacing w:after="200"/>
      </w:pPr>
    </w:p>
    <w:p>
      <w:pPr>
        <w:pStyle w:val="Heading1"/>
        <w:pBdr>
          <w:bottom w:val="single" w:color="1F4E5C" w:sz="8" w:space="4"/>
        </w:pBdr>
        <w:spacing w:after="200" w:before="480"/>
      </w:pPr>
      <w:r>
        <w:rPr>
          <w:b/>
          <w:bCs/>
          <w:color w:val="1F4E5C"/>
          <w:sz w:val="30"/>
          <w:szCs w:val="30"/>
        </w:rPr>
        <w:t xml:space="preserve">3. End-to-End Workflow</w:t>
      </w:r>
    </w:p>
    <w:p>
      <w:pPr>
        <w:spacing w:after="160" w:line="288"/>
      </w:pPr>
      <w:r>
        <w:rPr>
          <w:sz w:val="22"/>
          <w:szCs w:val="22"/>
        </w:rPr>
        <w:t xml:space="preserve">The implemented workflow separates positive and negative ionization data so that polarity-specific adduct lists, libraries, and processing parameters can be applied independently.</w:t>
      </w:r>
    </w:p>
    <w:p>
      <w:pPr>
        <w:pBdr>
          <w:top w:val="single" w:color="CBD5D9" w:sz="4" w:space="6"/>
          <w:left w:val="single" w:color="CBD5D9" w:sz="4" w:space="6"/>
          <w:right w:val="single" w:color="CBD5D9" w:sz="4" w:space="6"/>
        </w:pBdr>
        <w:shd w:fill="F4F4F4" w:val="clear"/>
        <w:spacing w:after="0" w:before="120"/>
      </w:pPr>
      <w: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Thermo RAW</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ProteoWizard MSConvert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mzML (MS1-MS2)</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Positive   Negative</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ion mode   ion mode</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MS-DIAL    MS-DIAL</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Console    Console</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Feature    Feature</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detection  detection</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MS/MS      MS/MS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annotation annotation</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MS-DIAL output files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Python post-processing</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Summary + MS/MS annotations</w:t>
      </w:r>
    </w:p>
    <w:p>
      <w:pPr>
        <w:pBdr>
          <w:bottom w:val="single" w:color="CBD5D9" w:sz="4" w:space="6"/>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lipid-class distributions</w:t>
      </w:r>
    </w:p>
    <w:p>
      <w:pPr>
        <w:spacing w:after="240"/>
      </w:pPr>
      <w:r>
        <w:t xml:space="preserve"/>
      </w:r>
    </w:p>
    <w:p>
      <w:pPr>
        <w:pStyle w:val="Heading1"/>
        <w:pBdr>
          <w:bottom w:val="single" w:color="1F4E5C" w:sz="8" w:space="4"/>
        </w:pBdr>
        <w:spacing w:after="200" w:before="480"/>
      </w:pPr>
      <w:r>
        <w:rPr>
          <w:b/>
          <w:bCs/>
          <w:color w:val="1F4E5C"/>
          <w:sz w:val="30"/>
          <w:szCs w:val="30"/>
        </w:rPr>
        <w:t xml:space="preserve">4. MS-DIAL Console Installation and Verification</w:t>
      </w:r>
    </w:p>
    <w:p>
      <w:pPr>
        <w:spacing w:after="160" w:line="288"/>
      </w:pPr>
      <w:r>
        <w:rPr>
          <w:sz w:val="22"/>
          <w:szCs w:val="22"/>
        </w:rPr>
        <w:t xml:space="preserve">The MS-DIAL Console package used in the tested workflow was MSDIAL.console.v5.5.251021-linux-net8.zip. The extracted executable was MSDIALCUI.</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cd ~/Lipidomics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unzip MSDIAL.console.v5.5.251021-linux-net8.zip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chmod +x MSDIALCUI</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--help</w:t>
      </w:r>
    </w:p>
    <w:p>
      <w:pPr>
        <w:spacing w:after="220"/>
      </w:pPr>
      <w:r>
        <w:t xml:space="preserve"/>
      </w:r>
    </w:p>
    <w:p>
      <w:pPr>
        <w:spacing w:after="160" w:line="288"/>
      </w:pPr>
      <w:r>
        <w:rPr>
          <w:sz w:val="22"/>
          <w:szCs w:val="22"/>
        </w:rPr>
        <w:t xml:space="preserve">The installed console returned:</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Msdial Console App Version 5.5.251021</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 Console App requires the following args: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MsdialConsoleApp.exe &lt;analysisType&gt; -i &lt;input folder&gt; -o &lt;output folder&gt; -m &lt;method file&gt; -p (option)</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&lt;analysisType&gt; is one of gcms, lcms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&lt;input folder&gt; is the folder containing the files to be processed</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&lt;output folder&gt; is the folder to save results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&lt;method file&gt; is a file holding processing properties</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-p is an option to generate MTB file to be loaded in MSDIAL GUI application.</w:t>
      </w:r>
    </w:p>
    <w:p>
      <w:pPr>
        <w:spacing w:after="220"/>
      </w:pPr>
      <w:r>
        <w:t xml:space="preserve"/>
      </w:r>
    </w:p>
    <w:p>
      <w:pPr>
        <w:pBdr>
          <w:left w:val="single" w:color="1F4E5C" w:sz="18" w:space="8"/>
        </w:pBdr>
        <w:shd w:fill="EAF2F3" w:val="clear"/>
        <w:spacing w:after="200" w:before="80" w:line="276"/>
        <w:ind w:left="120"/>
      </w:pPr>
      <w:r>
        <w:rPr>
          <w:b/>
          <w:bCs/>
          <w:color w:val="1F4E5C"/>
          <w:sz w:val="21"/>
          <w:szCs w:val="21"/>
        </w:rPr>
        <w:t xml:space="preserve">Version verification: </w:t>
      </w:r>
      <w:r>
        <w:rPr>
          <w:sz w:val="21"/>
          <w:szCs w:val="21"/>
        </w:rPr>
        <w:t xml:space="preserve">The installed executable, not the current MS-DIAL website release, is the version documented here: 5.5.251021.</w:t>
      </w:r>
    </w:p>
    <w:p>
      <w:pPr>
        <w:pStyle w:val="Heading1"/>
        <w:pBdr>
          <w:bottom w:val="single" w:color="1F4E5C" w:sz="8" w:space="4"/>
        </w:pBdr>
        <w:spacing w:after="200" w:before="480"/>
      </w:pPr>
      <w:r>
        <w:rPr>
          <w:b/>
          <w:bCs/>
          <w:color w:val="1F4E5C"/>
          <w:sz w:val="30"/>
          <w:szCs w:val="30"/>
        </w:rPr>
        <w:t xml:space="preserve">5. Spectral Library Setup</w:t>
      </w:r>
    </w:p>
    <w:p>
      <w:pPr>
        <w:spacing w:after="160" w:line="288"/>
      </w:pPr>
      <w:r>
        <w:rPr>
          <w:sz w:val="22"/>
          <w:szCs w:val="22"/>
        </w:rPr>
        <w:t xml:space="preserve">Three library files were present in the MS-DIAL working directory. The MSP files were used for the final validated workflow. An LBM2 library was also tested during workflow development but was not retained as the final library route because the LBM2 loading step produced a MessagePack format error.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800"/>
      </w:tblGrid>
      <w:tr>
        <w:trPr>
          <w:tblHeader/>
        </w:trPr>
        <w:tc>
          <w:tcPr>
            <w:tcW w:type="dxa" w:w="3600"/>
            <w:shd w:fill="1F4E5C" w:color="1F4E5C" w:val="clear"/>
            <w:tcMar>
              <w:top w:type="dxa" w:w="100"/>
              <w:left w:type="dxa" w:w="120"/>
              <w:bottom w:type="dxa" w:w="100"/>
              <w:right w:type="dxa" w:w="120"/>
            </w:tcMar>
            <w:vAlign w:val="center"/>
          </w:tcPr>
          <w:p>
            <w:r>
              <w:rPr>
                <w:b/>
                <w:bCs/>
                <w:color w:val="FFFFFF"/>
                <w:sz w:val="20"/>
                <w:szCs w:val="20"/>
              </w:rPr>
              <w:t xml:space="preserve">Library</w:t>
            </w:r>
          </w:p>
        </w:tc>
        <w:tc>
          <w:tcPr>
            <w:tcW w:type="dxa" w:w="1800"/>
            <w:shd w:fill="1F4E5C" w:color="1F4E5C" w:val="clear"/>
            <w:tcMar>
              <w:top w:type="dxa" w:w="100"/>
              <w:left w:type="dxa" w:w="120"/>
              <w:bottom w:type="dxa" w:w="100"/>
              <w:right w:type="dxa" w:w="120"/>
            </w:tcMar>
            <w:vAlign w:val="center"/>
          </w:tcPr>
          <w:p>
            <w:r>
              <w:rPr>
                <w:b/>
                <w:bCs/>
                <w:color w:val="FFFFFF"/>
                <w:sz w:val="20"/>
                <w:szCs w:val="20"/>
              </w:rPr>
              <w:t xml:space="preserve">Observed size</w:t>
            </w:r>
          </w:p>
        </w:tc>
        <w:tc>
          <w:tcPr>
            <w:tcW w:type="dxa" w:w="3800"/>
            <w:shd w:fill="1F4E5C" w:color="1F4E5C" w:val="clear"/>
            <w:tcMar>
              <w:top w:type="dxa" w:w="100"/>
              <w:left w:type="dxa" w:w="120"/>
              <w:bottom w:type="dxa" w:w="100"/>
              <w:right w:type="dxa" w:w="120"/>
            </w:tcMar>
            <w:vAlign w:val="center"/>
          </w:tcPr>
          <w:p>
            <w:r>
              <w:rPr>
                <w:b/>
                <w:bCs/>
                <w:color w:val="FFFFFF"/>
                <w:sz w:val="20"/>
                <w:szCs w:val="20"/>
              </w:rPr>
              <w:t xml:space="preserve">Workflow status</w:t>
            </w:r>
          </w:p>
        </w:tc>
      </w:tr>
      <w:tr>
        <w:tc>
          <w:tcPr>
            <w:tcW w:type="dxa" w:w="3600"/>
            <w:tcMar>
              <w:top w:type="dxa" w:w="90"/>
              <w:left w:type="dxa" w:w="120"/>
              <w:bottom w:type="dxa" w:w="90"/>
              <w:right w:type="dxa" w:w="120"/>
            </w:tcMar>
            <w:vAlign w:val="center"/>
          </w:tcPr>
          <w:p>
            <w:r>
              <w:rPr>
                <w:sz w:val="20"/>
                <w:szCs w:val="20"/>
              </w:rPr>
              <w:t xml:space="preserve">MSDIAL-InsilicoMSMS-Lipids-Pos.msp</w:t>
            </w:r>
          </w:p>
        </w:tc>
        <w:tc>
          <w:tcPr>
            <w:tcW w:type="dxa" w:w="1800"/>
            <w:tcMar>
              <w:top w:type="dxa" w:w="90"/>
              <w:left w:type="dxa" w:w="120"/>
              <w:bottom w:type="dxa" w:w="90"/>
              <w:right w:type="dxa" w:w="120"/>
            </w:tcMar>
            <w:vAlign w:val="center"/>
          </w:tcPr>
          <w:p>
            <w:r>
              <w:rPr>
                <w:sz w:val="20"/>
                <w:szCs w:val="20"/>
              </w:rPr>
              <w:t xml:space="preserve">70 MB</w:t>
            </w:r>
          </w:p>
        </w:tc>
        <w:tc>
          <w:tcPr>
            <w:tcW w:type="dxa" w:w="3800"/>
            <w:tcMar>
              <w:top w:type="dxa" w:w="90"/>
              <w:left w:type="dxa" w:w="120"/>
              <w:bottom w:type="dxa" w:w="90"/>
              <w:right w:type="dxa" w:w="120"/>
            </w:tcMar>
            <w:vAlign w:val="center"/>
          </w:tcPr>
          <w:p>
            <w:r>
              <w:rPr>
                <w:sz w:val="20"/>
                <w:szCs w:val="20"/>
              </w:rPr>
              <w:t xml:space="preserve">Used for positive-mode MSP annotation</w:t>
            </w:r>
          </w:p>
        </w:tc>
      </w:tr>
      <w:tr>
        <w:tc>
          <w:tcPr>
            <w:tcW w:type="dxa" w:w="3600"/>
            <w:shd w:fill="F7F9F9" w:val="clear"/>
            <w:tcMar>
              <w:top w:type="dxa" w:w="90"/>
              <w:left w:type="dxa" w:w="120"/>
              <w:bottom w:type="dxa" w:w="90"/>
              <w:right w:type="dxa" w:w="120"/>
            </w:tcMar>
            <w:vAlign w:val="center"/>
          </w:tcPr>
          <w:p>
            <w:r>
              <w:rPr>
                <w:sz w:val="20"/>
                <w:szCs w:val="20"/>
              </w:rPr>
              <w:t xml:space="preserve">MSDIAL-InsilicoMSMS-Lipids-Neg.msp</w:t>
            </w:r>
          </w:p>
        </w:tc>
        <w:tc>
          <w:tcPr>
            <w:tcW w:type="dxa" w:w="1800"/>
            <w:shd w:fill="F7F9F9" w:val="clear"/>
            <w:tcMar>
              <w:top w:type="dxa" w:w="90"/>
              <w:left w:type="dxa" w:w="120"/>
              <w:bottom w:type="dxa" w:w="90"/>
              <w:right w:type="dxa" w:w="120"/>
            </w:tcMar>
            <w:vAlign w:val="center"/>
          </w:tcPr>
          <w:p>
            <w:r>
              <w:rPr>
                <w:sz w:val="20"/>
                <w:szCs w:val="20"/>
              </w:rPr>
              <w:t xml:space="preserve">177 MB</w:t>
            </w:r>
          </w:p>
        </w:tc>
        <w:tc>
          <w:tcPr>
            <w:tcW w:type="dxa" w:w="3800"/>
            <w:shd w:fill="F7F9F9" w:val="clear"/>
            <w:tcMar>
              <w:top w:type="dxa" w:w="90"/>
              <w:left w:type="dxa" w:w="120"/>
              <w:bottom w:type="dxa" w:w="90"/>
              <w:right w:type="dxa" w:w="120"/>
            </w:tcMar>
            <w:vAlign w:val="center"/>
          </w:tcPr>
          <w:p>
            <w:r>
              <w:rPr>
                <w:sz w:val="20"/>
                <w:szCs w:val="20"/>
              </w:rPr>
              <w:t xml:space="preserve">Used for negative-mode MSP annotation</w:t>
            </w:r>
          </w:p>
        </w:tc>
      </w:tr>
      <w:tr>
        <w:tc>
          <w:tcPr>
            <w:tcW w:type="dxa" w:w="3600"/>
            <w:tcMar>
              <w:top w:type="dxa" w:w="90"/>
              <w:left w:type="dxa" w:w="120"/>
              <w:bottom w:type="dxa" w:w="90"/>
              <w:right w:type="dxa" w:w="120"/>
            </w:tcMar>
            <w:vAlign w:val="center"/>
          </w:tcPr>
          <w:p>
            <w:r>
              <w:rPr>
                <w:sz w:val="20"/>
                <w:szCs w:val="20"/>
              </w:rPr>
              <w:t xml:space="preserve">LipidMsmsBinaryDB-VS68-FiehnO.lbm2</w:t>
            </w:r>
          </w:p>
        </w:tc>
        <w:tc>
          <w:tcPr>
            <w:tcW w:type="dxa" w:w="1800"/>
            <w:tcMar>
              <w:top w:type="dxa" w:w="90"/>
              <w:left w:type="dxa" w:w="120"/>
              <w:bottom w:type="dxa" w:w="90"/>
              <w:right w:type="dxa" w:w="120"/>
            </w:tcMar>
            <w:vAlign w:val="center"/>
          </w:tcPr>
          <w:p>
            <w:r>
              <w:rPr>
                <w:sz w:val="20"/>
                <w:szCs w:val="20"/>
              </w:rPr>
              <w:t xml:space="preserve">121 MB</w:t>
            </w:r>
          </w:p>
        </w:tc>
        <w:tc>
          <w:tcPr>
            <w:tcW w:type="dxa" w:w="3800"/>
            <w:tcMar>
              <w:top w:type="dxa" w:w="90"/>
              <w:left w:type="dxa" w:w="120"/>
              <w:bottom w:type="dxa" w:w="90"/>
              <w:right w:type="dxa" w:w="120"/>
            </w:tcMar>
            <w:vAlign w:val="center"/>
          </w:tcPr>
          <w:p>
            <w:r>
              <w:rPr>
                <w:sz w:val="20"/>
                <w:szCs w:val="20"/>
              </w:rPr>
              <w:t xml:space="preserve">Tested; MessagePack loading error; not final</w:t>
            </w:r>
          </w:p>
        </w:tc>
      </w:tr>
    </w:tbl>
    <w:p>
      <w:pPr>
        <w:spacing w:after="160"/>
      </w:pPr>
    </w:p>
    <w:p>
      <w:pPr>
        <w:spacing w:after="160" w:line="288"/>
      </w:pPr>
      <w:r>
        <w:rPr>
          <w:sz w:val="22"/>
          <w:szCs w:val="22"/>
        </w:rPr>
        <w:t xml:space="preserve">Library presence can be checked with:</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ls -lh ~/Lipidomics/*.msp ~/Lipidomics/*.lbm2</w:t>
      </w:r>
    </w:p>
    <w:p>
      <w:pPr>
        <w:spacing w:after="220"/>
      </w:pPr>
      <w:r>
        <w:t xml:space="preserve"/>
      </w:r>
    </w:p>
    <w:p>
      <w:pPr>
        <w:spacing w:after="160" w:line="288"/>
      </w:pPr>
      <w:r>
        <w:rPr>
          <w:sz w:val="22"/>
          <w:szCs w:val="22"/>
        </w:rPr>
        <w:t xml:space="preserve">The final parameter files point to the polarity-specific MSP libraries:</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/home/shobita/Lipidomics/MSDIAL-InsilicoMSMS-Lipids-Pos.msp</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/home/shobita/Lipidomics/MSDIAL-InsilicoMSMS-Lipids-Neg.msp</w:t>
      </w:r>
    </w:p>
    <w:p>
      <w:pPr>
        <w:spacing w:after="220"/>
      </w:pPr>
      <w:r>
        <w:t xml:space="preserve"/>
      </w:r>
    </w:p>
    <w:p>
      <w:pPr>
        <w:pStyle w:val="Heading1"/>
        <w:pBdr>
          <w:bottom w:val="single" w:color="1F4E5C" w:sz="8" w:space="4"/>
        </w:pBdr>
        <w:spacing w:after="200" w:before="480"/>
      </w:pPr>
      <w:r>
        <w:rPr>
          <w:b/>
          <w:bCs/>
          <w:color w:val="1F4E5C"/>
          <w:sz w:val="30"/>
          <w:szCs w:val="30"/>
        </w:rPr>
        <w:t xml:space="preserve">6. Project and Data Organization</w:t>
      </w:r>
    </w:p>
    <w:p>
      <w:pPr>
        <w:pBdr>
          <w:top w:val="single" w:color="CBD5D9" w:sz="4" w:space="6"/>
          <w:left w:val="single" w:color="CBD5D9" w:sz="4" w:space="6"/>
          <w:right w:val="single" w:color="CBD5D9" w:sz="4" w:space="6"/>
        </w:pBdr>
        <w:shd w:fill="F4F4F4" w:val="clear"/>
        <w:spacing w:after="0" w:before="120"/>
      </w:pPr>
      <w: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~/Lipidomics/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MSDIALCUI</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MSDIAL-InsilicoMSMS-Lipids-Pos.msp</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MSDIAL-InsilicoMSMS-Lipids-Neg.msp</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LipidMsmsBinaryDB-VS68-FiehnO.lbm2</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param_pos.txt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data/</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mzml_pos/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mzml_neg/</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results_pos/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project/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data/</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docs/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libraries/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parameters/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results/</w:t>
      </w:r>
    </w:p>
    <w:p>
      <w:pPr>
        <w:pBdr>
          <w:bottom w:val="single" w:color="CBD5D9" w:sz="4" w:space="6"/>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scripts/</w:t>
      </w:r>
    </w:p>
    <w:p>
      <w:pPr>
        <w:spacing w:after="240"/>
      </w:pPr>
      <w:r>
        <w:t xml:space="preserve"/>
      </w:r>
    </w:p>
    <w:p>
      <w:pPr>
        <w:spacing w:after="160" w:line="288"/>
      </w:pPr>
      <w:r>
        <w:rPr>
          <w:sz w:val="22"/>
          <w:szCs w:val="22"/>
        </w:rPr>
        <w:t xml:space="preserve">The Git-based project separates input mzML files, documentation, parameter files, results, and scripts. Large raw/mzML files, spectral libraries, and generated MS-DIAL files are excluded from version control.</w:t>
      </w:r>
    </w:p>
    <w:p>
      <w:pPr>
        <w:pStyle w:val="Heading1"/>
        <w:pBdr>
          <w:bottom w:val="single" w:color="1F4E5C" w:sz="8" w:space="4"/>
        </w:pBdr>
        <w:spacing w:after="200" w:before="480"/>
      </w:pPr>
      <w:r>
        <w:rPr>
          <w:b/>
          <w:bCs/>
          <w:color w:val="1F4E5C"/>
          <w:sz w:val="30"/>
          <w:szCs w:val="30"/>
        </w:rPr>
        <w:t xml:space="preserve">7. MS-DIAL Parameter Configuration</w:t>
      </w:r>
    </w:p>
    <w:p>
      <w:pPr>
        <w:pStyle w:val="Heading2"/>
        <w:spacing w:after="140" w:before="320"/>
      </w:pPr>
      <w:r>
        <w:rPr>
          <w:b/>
          <w:bCs/>
          <w:color w:val="1F4E5C"/>
          <w:sz w:val="25"/>
          <w:szCs w:val="25"/>
        </w:rPr>
        <w:t xml:space="preserve">7.1 Positive mode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4E5C" w:color="1F4E5C" w:val="clear"/>
            <w:tcMar>
              <w:top w:type="dxa" w:w="100"/>
              <w:left w:type="dxa" w:w="120"/>
              <w:bottom w:type="dxa" w:w="100"/>
              <w:right w:type="dxa" w:w="120"/>
            </w:tcMar>
            <w:vAlign w:val="center"/>
          </w:tcPr>
          <w:p>
            <w:r>
              <w:rPr>
                <w:b/>
                <w:bCs/>
                <w:color w:val="FFFFFF"/>
                <w:sz w:val="20"/>
                <w:szCs w:val="20"/>
              </w:rPr>
              <w:t xml:space="preserve">Parameter</w:t>
            </w:r>
          </w:p>
        </w:tc>
        <w:tc>
          <w:tcPr>
            <w:tcW w:type="dxa" w:w="5300"/>
            <w:shd w:fill="1F4E5C" w:color="1F4E5C" w:val="clear"/>
            <w:tcMar>
              <w:top w:type="dxa" w:w="100"/>
              <w:left w:type="dxa" w:w="120"/>
              <w:bottom w:type="dxa" w:w="100"/>
              <w:right w:type="dxa" w:w="120"/>
            </w:tcMar>
            <w:vAlign w:val="center"/>
          </w:tcPr>
          <w:p>
            <w:r>
              <w:rPr>
                <w:b/>
                <w:bCs/>
                <w:color w:val="FFFFFF"/>
                <w:sz w:val="20"/>
                <w:szCs w:val="20"/>
              </w:rPr>
              <w:t xml:space="preserve">Value</w:t>
            </w:r>
          </w:p>
        </w:tc>
      </w:tr>
      <w:tr>
        <w:tc>
          <w:tcPr>
            <w:tcW w:type="dxa" w:w="4200"/>
            <w:tcMar>
              <w:top w:type="dxa" w:w="90"/>
              <w:left w:type="dxa" w:w="120"/>
              <w:bottom w:type="dxa" w:w="90"/>
              <w:right w:type="dxa" w:w="120"/>
            </w:tcMar>
            <w:vAlign w:val="center"/>
          </w:tcPr>
          <w:p>
            <w:r>
              <w:rPr>
                <w:sz w:val="20"/>
                <w:szCs w:val="20"/>
              </w:rPr>
              <w:t xml:space="preserve">Data type</w:t>
            </w:r>
          </w:p>
        </w:tc>
        <w:tc>
          <w:tcPr>
            <w:tcW w:type="dxa" w:w="5300"/>
            <w:tcMar>
              <w:top w:type="dxa" w:w="90"/>
              <w:left w:type="dxa" w:w="120"/>
              <w:bottom w:type="dxa" w:w="90"/>
              <w:right w:type="dxa" w:w="120"/>
            </w:tcMar>
            <w:vAlign w:val="center"/>
          </w:tcPr>
          <w:p>
            <w:r>
              <w:rPr>
                <w:sz w:val="20"/>
                <w:szCs w:val="20"/>
              </w:rPr>
              <w:t xml:space="preserve">Centroid</w:t>
            </w:r>
          </w:p>
        </w:tc>
      </w:tr>
      <w:tr>
        <w:tc>
          <w:tcPr>
            <w:tcW w:type="dxa" w:w="4200"/>
            <w:shd w:fill="F7F9F9" w:val="clear"/>
            <w:tcMar>
              <w:top w:type="dxa" w:w="90"/>
              <w:left w:type="dxa" w:w="120"/>
              <w:bottom w:type="dxa" w:w="90"/>
              <w:right w:type="dxa" w:w="120"/>
            </w:tcMar>
            <w:vAlign w:val="center"/>
          </w:tcPr>
          <w:p>
            <w:r>
              <w:rPr>
                <w:sz w:val="20"/>
                <w:szCs w:val="20"/>
              </w:rPr>
              <w:t xml:space="preserve">Ion mode</w:t>
            </w:r>
          </w:p>
        </w:tc>
        <w:tc>
          <w:tcPr>
            <w:tcW w:type="dxa" w:w="5300"/>
            <w:shd w:fill="F7F9F9" w:val="clear"/>
            <w:tcMar>
              <w:top w:type="dxa" w:w="90"/>
              <w:left w:type="dxa" w:w="120"/>
              <w:bottom w:type="dxa" w:w="90"/>
              <w:right w:type="dxa" w:w="120"/>
            </w:tcMar>
            <w:vAlign w:val="center"/>
          </w:tcPr>
          <w:p>
            <w:r>
              <w:rPr>
                <w:sz w:val="20"/>
                <w:szCs w:val="20"/>
              </w:rPr>
              <w:t xml:space="preserve">Positive</w:t>
            </w:r>
          </w:p>
        </w:tc>
      </w:tr>
      <w:tr>
        <w:tc>
          <w:tcPr>
            <w:tcW w:type="dxa" w:w="4200"/>
            <w:tcMar>
              <w:top w:type="dxa" w:w="90"/>
              <w:left w:type="dxa" w:w="120"/>
              <w:bottom w:type="dxa" w:w="90"/>
              <w:right w:type="dxa" w:w="120"/>
            </w:tcMar>
            <w:vAlign w:val="center"/>
          </w:tcPr>
          <w:p>
            <w:r>
              <w:rPr>
                <w:sz w:val="20"/>
                <w:szCs w:val="20"/>
              </w:rPr>
              <w:t xml:space="preserve">Target omics</w:t>
            </w:r>
          </w:p>
        </w:tc>
        <w:tc>
          <w:tcPr>
            <w:tcW w:type="dxa" w:w="5300"/>
            <w:tcMar>
              <w:top w:type="dxa" w:w="90"/>
              <w:left w:type="dxa" w:w="120"/>
              <w:bottom w:type="dxa" w:w="90"/>
              <w:right w:type="dxa" w:w="120"/>
            </w:tcMar>
            <w:vAlign w:val="center"/>
          </w:tcPr>
          <w:p>
            <w:r>
              <w:rPr>
                <w:sz w:val="20"/>
                <w:szCs w:val="20"/>
              </w:rPr>
              <w:t xml:space="preserve">Lipidomics</w:t>
            </w:r>
          </w:p>
        </w:tc>
      </w:tr>
      <w:tr>
        <w:tc>
          <w:tcPr>
            <w:tcW w:type="dxa" w:w="4200"/>
            <w:shd w:fill="F7F9F9" w:val="clear"/>
            <w:tcMar>
              <w:top w:type="dxa" w:w="90"/>
              <w:left w:type="dxa" w:w="120"/>
              <w:bottom w:type="dxa" w:w="90"/>
              <w:right w:type="dxa" w:w="120"/>
            </w:tcMar>
            <w:vAlign w:val="center"/>
          </w:tcPr>
          <w:p>
            <w:r>
              <w:rPr>
                <w:sz w:val="20"/>
                <w:szCs w:val="20"/>
              </w:rPr>
              <w:t xml:space="preserve">Ionization</w:t>
            </w:r>
          </w:p>
        </w:tc>
        <w:tc>
          <w:tcPr>
            <w:tcW w:type="dxa" w:w="5300"/>
            <w:shd w:fill="F7F9F9" w:val="clear"/>
            <w:tcMar>
              <w:top w:type="dxa" w:w="90"/>
              <w:left w:type="dxa" w:w="120"/>
              <w:bottom w:type="dxa" w:w="90"/>
              <w:right w:type="dxa" w:w="120"/>
            </w:tcMar>
            <w:vAlign w:val="center"/>
          </w:tcPr>
          <w:p>
            <w:r>
              <w:rPr>
                <w:sz w:val="20"/>
                <w:szCs w:val="20"/>
              </w:rPr>
              <w:t xml:space="preserve">ESI</w:t>
            </w:r>
          </w:p>
        </w:tc>
      </w:tr>
      <w:tr>
        <w:tc>
          <w:tcPr>
            <w:tcW w:type="dxa" w:w="4200"/>
            <w:tcMar>
              <w:top w:type="dxa" w:w="90"/>
              <w:left w:type="dxa" w:w="120"/>
              <w:bottom w:type="dxa" w:w="90"/>
              <w:right w:type="dxa" w:w="120"/>
            </w:tcMar>
            <w:vAlign w:val="center"/>
          </w:tcPr>
          <w:p>
            <w:r>
              <w:rPr>
                <w:sz w:val="20"/>
                <w:szCs w:val="20"/>
              </w:rPr>
              <w:t xml:space="preserve">MS1 tolerance</w:t>
            </w:r>
          </w:p>
        </w:tc>
        <w:tc>
          <w:tcPr>
            <w:tcW w:type="dxa" w:w="5300"/>
            <w:tcMar>
              <w:top w:type="dxa" w:w="90"/>
              <w:left w:type="dxa" w:w="120"/>
              <w:bottom w:type="dxa" w:w="90"/>
              <w:right w:type="dxa" w:w="120"/>
            </w:tcMar>
            <w:vAlign w:val="center"/>
          </w:tcPr>
          <w:p>
            <w:r>
              <w:rPr>
                <w:sz w:val="20"/>
                <w:szCs w:val="20"/>
              </w:rPr>
              <w:t xml:space="preserve">0.01</w:t>
            </w:r>
          </w:p>
        </w:tc>
      </w:tr>
      <w:tr>
        <w:tc>
          <w:tcPr>
            <w:tcW w:type="dxa" w:w="4200"/>
            <w:shd w:fill="F7F9F9" w:val="clear"/>
            <w:tcMar>
              <w:top w:type="dxa" w:w="90"/>
              <w:left w:type="dxa" w:w="120"/>
              <w:bottom w:type="dxa" w:w="90"/>
              <w:right w:type="dxa" w:w="120"/>
            </w:tcMar>
            <w:vAlign w:val="center"/>
          </w:tcPr>
          <w:p>
            <w:r>
              <w:rPr>
                <w:sz w:val="20"/>
                <w:szCs w:val="20"/>
              </w:rPr>
              <w:t xml:space="preserve">MS2 tolerance</w:t>
            </w:r>
          </w:p>
        </w:tc>
        <w:tc>
          <w:tcPr>
            <w:tcW w:type="dxa" w:w="5300"/>
            <w:shd w:fill="F7F9F9" w:val="clear"/>
            <w:tcMar>
              <w:top w:type="dxa" w:w="90"/>
              <w:left w:type="dxa" w:w="120"/>
              <w:bottom w:type="dxa" w:w="90"/>
              <w:right w:type="dxa" w:w="120"/>
            </w:tcMar>
            <w:vAlign w:val="center"/>
          </w:tcPr>
          <w:p>
            <w:r>
              <w:rPr>
                <w:sz w:val="20"/>
                <w:szCs w:val="20"/>
              </w:rPr>
              <w:t xml:space="preserve">0.025</w:t>
            </w:r>
          </w:p>
        </w:tc>
      </w:tr>
      <w:tr>
        <w:tc>
          <w:tcPr>
            <w:tcW w:type="dxa" w:w="4200"/>
            <w:tcMar>
              <w:top w:type="dxa" w:w="90"/>
              <w:left w:type="dxa" w:w="120"/>
              <w:bottom w:type="dxa" w:w="90"/>
              <w:right w:type="dxa" w:w="120"/>
            </w:tcMar>
            <w:vAlign w:val="center"/>
          </w:tcPr>
          <w:p>
            <w:r>
              <w:rPr>
                <w:sz w:val="20"/>
                <w:szCs w:val="20"/>
              </w:rPr>
              <w:t xml:space="preserve">Adducts</w:t>
            </w:r>
          </w:p>
        </w:tc>
        <w:tc>
          <w:tcPr>
            <w:tcW w:type="dxa" w:w="5300"/>
            <w:tcMar>
              <w:top w:type="dxa" w:w="90"/>
              <w:left w:type="dxa" w:w="120"/>
              <w:bottom w:type="dxa" w:w="90"/>
              <w:right w:type="dxa" w:w="120"/>
            </w:tcMar>
            <w:vAlign w:val="center"/>
          </w:tcPr>
          <w:p>
            <w:r>
              <w:rPr>
                <w:sz w:val="20"/>
                <w:szCs w:val="20"/>
              </w:rPr>
              <w:t xml:space="preserve">[M+H]+, [M+NH4]+, [M+Na]+, [M+H-H2O]+</w:t>
            </w:r>
          </w:p>
        </w:tc>
      </w:tr>
      <w:tr>
        <w:tc>
          <w:tcPr>
            <w:tcW w:type="dxa" w:w="4200"/>
            <w:shd w:fill="F7F9F9" w:val="clear"/>
            <w:tcMar>
              <w:top w:type="dxa" w:w="90"/>
              <w:left w:type="dxa" w:w="120"/>
              <w:bottom w:type="dxa" w:w="90"/>
              <w:right w:type="dxa" w:w="120"/>
            </w:tcMar>
            <w:vAlign w:val="center"/>
          </w:tcPr>
          <w:p>
            <w:r>
              <w:rPr>
                <w:sz w:val="20"/>
                <w:szCs w:val="20"/>
              </w:rPr>
              <w:t xml:space="preserve">MSP library</w:t>
            </w:r>
          </w:p>
        </w:tc>
        <w:tc>
          <w:tcPr>
            <w:tcW w:type="dxa" w:w="5300"/>
            <w:shd w:fill="F7F9F9" w:val="clear"/>
            <w:tcMar>
              <w:top w:type="dxa" w:w="90"/>
              <w:left w:type="dxa" w:w="120"/>
              <w:bottom w:type="dxa" w:w="90"/>
              <w:right w:type="dxa" w:w="120"/>
            </w:tcMar>
            <w:vAlign w:val="center"/>
          </w:tcPr>
          <w:p>
            <w:r>
              <w:rPr>
                <w:sz w:val="20"/>
                <w:szCs w:val="20"/>
              </w:rPr>
              <w:t xml:space="preserve">MSDIAL-InsilicoMSMS-Lipids-Pos.msp</w:t>
            </w:r>
          </w:p>
        </w:tc>
      </w:tr>
      <w:tr>
        <w:tc>
          <w:tcPr>
            <w:tcW w:type="dxa" w:w="4200"/>
            <w:tcMar>
              <w:top w:type="dxa" w:w="90"/>
              <w:left w:type="dxa" w:w="120"/>
              <w:bottom w:type="dxa" w:w="90"/>
              <w:right w:type="dxa" w:w="120"/>
            </w:tcMar>
            <w:vAlign w:val="center"/>
          </w:tcPr>
          <w:p>
            <w:r>
              <w:rPr>
                <w:sz w:val="20"/>
                <w:szCs w:val="20"/>
              </w:rPr>
              <w:t xml:space="preserve">Identification cut-off (basic method file)</w:t>
            </w:r>
          </w:p>
        </w:tc>
        <w:tc>
          <w:tcPr>
            <w:tcW w:type="dxa" w:w="5300"/>
            <w:tcMar>
              <w:top w:type="dxa" w:w="90"/>
              <w:left w:type="dxa" w:w="120"/>
              <w:bottom w:type="dxa" w:w="90"/>
              <w:right w:type="dxa" w:w="120"/>
            </w:tcMar>
            <w:vAlign w:val="center"/>
          </w:tcPr>
          <w:p>
            <w:r>
              <w:rPr>
                <w:sz w:val="20"/>
                <w:szCs w:val="20"/>
              </w:rPr>
              <w:t xml:space="preserve">80</w:t>
            </w:r>
          </w:p>
        </w:tc>
      </w:tr>
      <w:tr>
        <w:tc>
          <w:tcPr>
            <w:tcW w:type="dxa" w:w="4200"/>
            <w:shd w:fill="F7F9F9" w:val="clear"/>
            <w:tcMar>
              <w:top w:type="dxa" w:w="90"/>
              <w:left w:type="dxa" w:w="120"/>
              <w:bottom w:type="dxa" w:w="90"/>
              <w:right w:type="dxa" w:w="120"/>
            </w:tcMar>
            <w:vAlign w:val="center"/>
          </w:tcPr>
          <w:p>
            <w:r>
              <w:rPr>
                <w:sz w:val="20"/>
                <w:szCs w:val="20"/>
              </w:rPr>
              <w:t xml:space="preserve">Minimum peak height</w:t>
            </w:r>
          </w:p>
        </w:tc>
        <w:tc>
          <w:tcPr>
            <w:tcW w:type="dxa" w:w="5300"/>
            <w:shd w:fill="F7F9F9" w:val="clear"/>
            <w:tcMar>
              <w:top w:type="dxa" w:w="90"/>
              <w:left w:type="dxa" w:w="120"/>
              <w:bottom w:type="dxa" w:w="90"/>
              <w:right w:type="dxa" w:w="120"/>
            </w:tcMar>
            <w:vAlign w:val="center"/>
          </w:tcPr>
          <w:p>
            <w:r>
              <w:rPr>
                <w:sz w:val="20"/>
                <w:szCs w:val="20"/>
              </w:rPr>
              <w:t xml:space="preserve">300</w:t>
            </w:r>
          </w:p>
        </w:tc>
      </w:tr>
      <w:tr>
        <w:tc>
          <w:tcPr>
            <w:tcW w:type="dxa" w:w="4200"/>
            <w:tcMar>
              <w:top w:type="dxa" w:w="90"/>
              <w:left w:type="dxa" w:w="120"/>
              <w:bottom w:type="dxa" w:w="90"/>
              <w:right w:type="dxa" w:w="120"/>
            </w:tcMar>
            <w:vAlign w:val="center"/>
          </w:tcPr>
          <w:p>
            <w:r>
              <w:rPr>
                <w:sz w:val="20"/>
                <w:szCs w:val="20"/>
              </w:rPr>
              <w:t xml:space="preserve">Minimum peak width</w:t>
            </w:r>
          </w:p>
        </w:tc>
        <w:tc>
          <w:tcPr>
            <w:tcW w:type="dxa" w:w="5300"/>
            <w:tcMar>
              <w:top w:type="dxa" w:w="90"/>
              <w:left w:type="dxa" w:w="120"/>
              <w:bottom w:type="dxa" w:w="90"/>
              <w:right w:type="dxa" w:w="120"/>
            </w:tcMar>
            <w:vAlign w:val="center"/>
          </w:tcPr>
          <w:p>
            <w:r>
              <w:rPr>
                <w:sz w:val="20"/>
                <w:szCs w:val="20"/>
              </w:rPr>
              <w:t xml:space="preserve">5</w:t>
            </w:r>
          </w:p>
        </w:tc>
      </w:tr>
      <w:tr>
        <w:tc>
          <w:tcPr>
            <w:tcW w:type="dxa" w:w="4200"/>
            <w:shd w:fill="F7F9F9" w:val="clear"/>
            <w:tcMar>
              <w:top w:type="dxa" w:w="90"/>
              <w:left w:type="dxa" w:w="120"/>
              <w:bottom w:type="dxa" w:w="90"/>
              <w:right w:type="dxa" w:w="120"/>
            </w:tcMar>
            <w:vAlign w:val="center"/>
          </w:tcPr>
          <w:p>
            <w:r>
              <w:rPr>
                <w:sz w:val="20"/>
                <w:szCs w:val="20"/>
              </w:rPr>
              <w:t xml:space="preserve">Average peak width</w:t>
            </w:r>
          </w:p>
        </w:tc>
        <w:tc>
          <w:tcPr>
            <w:tcW w:type="dxa" w:w="5300"/>
            <w:shd w:fill="F7F9F9" w:val="clear"/>
            <w:tcMar>
              <w:top w:type="dxa" w:w="90"/>
              <w:left w:type="dxa" w:w="120"/>
              <w:bottom w:type="dxa" w:w="90"/>
              <w:right w:type="dxa" w:w="120"/>
            </w:tcMar>
            <w:vAlign w:val="center"/>
          </w:tcPr>
          <w:p>
            <w:r>
              <w:rPr>
                <w:sz w:val="20"/>
                <w:szCs w:val="20"/>
              </w:rPr>
              <w:t xml:space="preserve">30</w:t>
            </w:r>
          </w:p>
        </w:tc>
      </w:tr>
      <w:tr>
        <w:tc>
          <w:tcPr>
            <w:tcW w:type="dxa" w:w="4200"/>
            <w:tcMar>
              <w:top w:type="dxa" w:w="90"/>
              <w:left w:type="dxa" w:w="120"/>
              <w:bottom w:type="dxa" w:w="90"/>
              <w:right w:type="dxa" w:w="120"/>
            </w:tcMar>
            <w:vAlign w:val="center"/>
          </w:tcPr>
          <w:p>
            <w:r>
              <w:rPr>
                <w:sz w:val="20"/>
                <w:szCs w:val="20"/>
              </w:rPr>
              <w:t xml:space="preserve">Mass slice width</w:t>
            </w:r>
          </w:p>
        </w:tc>
        <w:tc>
          <w:tcPr>
            <w:tcW w:type="dxa" w:w="5300"/>
            <w:tcMar>
              <w:top w:type="dxa" w:w="90"/>
              <w:left w:type="dxa" w:w="120"/>
              <w:bottom w:type="dxa" w:w="90"/>
              <w:right w:type="dxa" w:w="120"/>
            </w:tcMar>
            <w:vAlign w:val="center"/>
          </w:tcPr>
          <w:p>
            <w:r>
              <w:rPr>
                <w:sz w:val="20"/>
                <w:szCs w:val="20"/>
              </w:rPr>
              <w:t xml:space="preserve">0.05</w:t>
            </w:r>
          </w:p>
        </w:tc>
      </w:tr>
      <w:tr>
        <w:tc>
          <w:tcPr>
            <w:tcW w:type="dxa" w:w="4200"/>
            <w:shd w:fill="F7F9F9" w:val="clear"/>
            <w:tcMar>
              <w:top w:type="dxa" w:w="90"/>
              <w:left w:type="dxa" w:w="120"/>
              <w:bottom w:type="dxa" w:w="90"/>
              <w:right w:type="dxa" w:w="120"/>
            </w:tcMar>
            <w:vAlign w:val="center"/>
          </w:tcPr>
          <w:p>
            <w:r>
              <w:rPr>
                <w:sz w:val="20"/>
                <w:szCs w:val="20"/>
              </w:rPr>
              <w:t xml:space="preserve">RT range</w:t>
            </w:r>
          </w:p>
        </w:tc>
        <w:tc>
          <w:tcPr>
            <w:tcW w:type="dxa" w:w="5300"/>
            <w:shd w:fill="F7F9F9" w:val="clear"/>
            <w:tcMar>
              <w:top w:type="dxa" w:w="90"/>
              <w:left w:type="dxa" w:w="120"/>
              <w:bottom w:type="dxa" w:w="90"/>
              <w:right w:type="dxa" w:w="120"/>
            </w:tcMar>
            <w:vAlign w:val="center"/>
          </w:tcPr>
          <w:p>
            <w:r>
              <w:rPr>
                <w:sz w:val="20"/>
                <w:szCs w:val="20"/>
              </w:rPr>
              <w:t xml:space="preserve">0–100 min</w:t>
            </w:r>
          </w:p>
        </w:tc>
      </w:tr>
      <w:tr>
        <w:tc>
          <w:tcPr>
            <w:tcW w:type="dxa" w:w="4200"/>
            <w:tcMar>
              <w:top w:type="dxa" w:w="90"/>
              <w:left w:type="dxa" w:w="120"/>
              <w:bottom w:type="dxa" w:w="90"/>
              <w:right w:type="dxa" w:w="120"/>
            </w:tcMar>
            <w:vAlign w:val="center"/>
          </w:tcPr>
          <w:p>
            <w:r>
              <w:rPr>
                <w:sz w:val="20"/>
                <w:szCs w:val="20"/>
              </w:rPr>
              <w:t xml:space="preserve">MS1/MS2 mass range</w:t>
            </w:r>
          </w:p>
        </w:tc>
        <w:tc>
          <w:tcPr>
            <w:tcW w:type="dxa" w:w="5300"/>
            <w:tcMar>
              <w:top w:type="dxa" w:w="90"/>
              <w:left w:type="dxa" w:w="120"/>
              <w:bottom w:type="dxa" w:w="90"/>
              <w:right w:type="dxa" w:w="120"/>
            </w:tcMar>
            <w:vAlign w:val="center"/>
          </w:tcPr>
          <w:p>
            <w:r>
              <w:rPr>
                <w:sz w:val="20"/>
                <w:szCs w:val="20"/>
              </w:rPr>
              <w:t xml:space="preserve">0–2000</w:t>
            </w:r>
          </w:p>
        </w:tc>
      </w:tr>
      <w:tr>
        <w:tc>
          <w:tcPr>
            <w:tcW w:type="dxa" w:w="4200"/>
            <w:shd w:fill="F7F9F9" w:val="clear"/>
            <w:tcMar>
              <w:top w:type="dxa" w:w="90"/>
              <w:left w:type="dxa" w:w="120"/>
              <w:bottom w:type="dxa" w:w="90"/>
              <w:right w:type="dxa" w:w="120"/>
            </w:tcMar>
            <w:vAlign w:val="center"/>
          </w:tcPr>
          <w:p>
            <w:r>
              <w:rPr>
                <w:sz w:val="20"/>
                <w:szCs w:val="20"/>
              </w:rPr>
              <w:t xml:space="preserve">Maximum charge</w:t>
            </w:r>
          </w:p>
        </w:tc>
        <w:tc>
          <w:tcPr>
            <w:tcW w:type="dxa" w:w="5300"/>
            <w:shd w:fill="F7F9F9" w:val="clear"/>
            <w:tcMar>
              <w:top w:type="dxa" w:w="90"/>
              <w:left w:type="dxa" w:w="120"/>
              <w:bottom w:type="dxa" w:w="90"/>
              <w:right w:type="dxa" w:w="120"/>
            </w:tcMar>
            <w:vAlign w:val="center"/>
          </w:tcPr>
          <w:p>
            <w:r>
              <w:rPr>
                <w:sz w:val="20"/>
                <w:szCs w:val="20"/>
              </w:rPr>
              <w:t xml:space="preserve">2</w:t>
            </w:r>
          </w:p>
        </w:tc>
      </w:tr>
      <w:tr>
        <w:tc>
          <w:tcPr>
            <w:tcW w:type="dxa" w:w="4200"/>
            <w:tcMar>
              <w:top w:type="dxa" w:w="90"/>
              <w:left w:type="dxa" w:w="120"/>
              <w:bottom w:type="dxa" w:w="90"/>
              <w:right w:type="dxa" w:w="120"/>
            </w:tcMar>
            <w:vAlign w:val="center"/>
          </w:tcPr>
          <w:p>
            <w:r>
              <w:rPr>
                <w:sz w:val="20"/>
                <w:szCs w:val="20"/>
              </w:rPr>
              <w:t xml:space="preserve">Maximum isotopes</w:t>
            </w:r>
          </w:p>
        </w:tc>
        <w:tc>
          <w:tcPr>
            <w:tcW w:type="dxa" w:w="5300"/>
            <w:tcMar>
              <w:top w:type="dxa" w:w="90"/>
              <w:left w:type="dxa" w:w="120"/>
              <w:bottom w:type="dxa" w:w="90"/>
              <w:right w:type="dxa" w:w="120"/>
            </w:tcMar>
            <w:vAlign w:val="center"/>
          </w:tcPr>
          <w:p>
            <w:r>
              <w:rPr>
                <w:sz w:val="20"/>
                <w:szCs w:val="20"/>
              </w:rPr>
              <w:t xml:space="preserve">2</w:t>
            </w:r>
          </w:p>
        </w:tc>
      </w:tr>
      <w:tr>
        <w:tc>
          <w:tcPr>
            <w:tcW w:type="dxa" w:w="4200"/>
            <w:shd w:fill="F7F9F9" w:val="clear"/>
            <w:tcMar>
              <w:top w:type="dxa" w:w="90"/>
              <w:left w:type="dxa" w:w="120"/>
              <w:bottom w:type="dxa" w:w="90"/>
              <w:right w:type="dxa" w:w="120"/>
            </w:tcMar>
            <w:vAlign w:val="center"/>
          </w:tcPr>
          <w:p>
            <w:r>
              <w:rPr>
                <w:sz w:val="20"/>
                <w:szCs w:val="20"/>
              </w:rPr>
              <w:t xml:space="preserve">Smoothing</w:t>
            </w:r>
          </w:p>
        </w:tc>
        <w:tc>
          <w:tcPr>
            <w:tcW w:type="dxa" w:w="5300"/>
            <w:shd w:fill="F7F9F9" w:val="clear"/>
            <w:tcMar>
              <w:top w:type="dxa" w:w="90"/>
              <w:left w:type="dxa" w:w="120"/>
              <w:bottom w:type="dxa" w:w="90"/>
              <w:right w:type="dxa" w:w="120"/>
            </w:tcMar>
            <w:vAlign w:val="center"/>
          </w:tcPr>
          <w:p>
            <w:r>
              <w:rPr>
                <w:sz w:val="20"/>
                <w:szCs w:val="20"/>
              </w:rPr>
              <w:t xml:space="preserve">3</w:t>
            </w:r>
          </w:p>
        </w:tc>
      </w:tr>
      <w:tr>
        <w:tc>
          <w:tcPr>
            <w:tcW w:type="dxa" w:w="4200"/>
            <w:tcMar>
              <w:top w:type="dxa" w:w="90"/>
              <w:left w:type="dxa" w:w="120"/>
              <w:bottom w:type="dxa" w:w="90"/>
              <w:right w:type="dxa" w:w="120"/>
            </w:tcMar>
            <w:vAlign w:val="center"/>
          </w:tcPr>
          <w:p>
            <w:r>
              <w:rPr>
                <w:sz w:val="20"/>
                <w:szCs w:val="20"/>
              </w:rPr>
              <w:t xml:space="preserve">Deconvolution sigma</w:t>
            </w:r>
          </w:p>
        </w:tc>
        <w:tc>
          <w:tcPr>
            <w:tcW w:type="dxa" w:w="5300"/>
            <w:tcMar>
              <w:top w:type="dxa" w:w="90"/>
              <w:left w:type="dxa" w:w="120"/>
              <w:bottom w:type="dxa" w:w="90"/>
              <w:right w:type="dxa" w:w="120"/>
            </w:tcMar>
            <w:vAlign w:val="center"/>
          </w:tcPr>
          <w:p>
            <w:r>
              <w:rPr>
                <w:sz w:val="20"/>
                <w:szCs w:val="20"/>
              </w:rPr>
              <w:t xml:space="preserve">0.5</w:t>
            </w:r>
          </w:p>
        </w:tc>
      </w:tr>
      <w:tr>
        <w:tc>
          <w:tcPr>
            <w:tcW w:type="dxa" w:w="4200"/>
            <w:shd w:fill="F7F9F9" w:val="clear"/>
            <w:tcMar>
              <w:top w:type="dxa" w:w="90"/>
              <w:left w:type="dxa" w:w="120"/>
              <w:bottom w:type="dxa" w:w="90"/>
              <w:right w:type="dxa" w:w="120"/>
            </w:tcMar>
            <w:vAlign w:val="center"/>
          </w:tcPr>
          <w:p>
            <w:r>
              <w:rPr>
                <w:sz w:val="20"/>
                <w:szCs w:val="20"/>
              </w:rPr>
              <w:t xml:space="preserve">Threads</w:t>
            </w:r>
          </w:p>
        </w:tc>
        <w:tc>
          <w:tcPr>
            <w:tcW w:type="dxa" w:w="5300"/>
            <w:shd w:fill="F7F9F9" w:val="clear"/>
            <w:tcMar>
              <w:top w:type="dxa" w:w="90"/>
              <w:left w:type="dxa" w:w="120"/>
              <w:bottom w:type="dxa" w:w="90"/>
              <w:right w:type="dxa" w:w="120"/>
            </w:tcMar>
            <w:vAlign w:val="center"/>
          </w:tcPr>
          <w:p>
            <w:r>
              <w:rPr>
                <w:sz w:val="20"/>
                <w:szCs w:val="20"/>
              </w:rPr>
              <w:t xml:space="preserve">20</w:t>
            </w:r>
          </w:p>
        </w:tc>
      </w:tr>
      <w:tr>
        <w:tc>
          <w:tcPr>
            <w:tcW w:type="dxa" w:w="4200"/>
            <w:tcMar>
              <w:top w:type="dxa" w:w="90"/>
              <w:left w:type="dxa" w:w="120"/>
              <w:bottom w:type="dxa" w:w="90"/>
              <w:right w:type="dxa" w:w="120"/>
            </w:tcMar>
            <w:vAlign w:val="center"/>
          </w:tcPr>
          <w:p>
            <w:r>
              <w:rPr>
                <w:sz w:val="20"/>
                <w:szCs w:val="20"/>
              </w:rPr>
              <w:t xml:space="preserve">Solvent</w:t>
            </w:r>
          </w:p>
        </w:tc>
        <w:tc>
          <w:tcPr>
            <w:tcW w:type="dxa" w:w="5300"/>
            <w:tcMar>
              <w:top w:type="dxa" w:w="90"/>
              <w:left w:type="dxa" w:w="120"/>
              <w:bottom w:type="dxa" w:w="90"/>
              <w:right w:type="dxa" w:w="120"/>
            </w:tcMar>
            <w:vAlign w:val="center"/>
          </w:tcPr>
          <w:p>
            <w:r>
              <w:rPr>
                <w:sz w:val="20"/>
                <w:szCs w:val="20"/>
              </w:rPr>
              <w:t xml:space="preserve">HCOONH4</w:t>
            </w:r>
          </w:p>
        </w:tc>
      </w:tr>
    </w:tbl>
    <w:p>
      <w:pPr>
        <w:spacing w:after="200"/>
      </w:pPr>
    </w:p>
    <w:p>
      <w:pPr>
        <w:pStyle w:val="Heading2"/>
        <w:spacing w:after="140" w:before="320"/>
      </w:pPr>
      <w:r>
        <w:rPr>
          <w:b/>
          <w:bCs/>
          <w:color w:val="1F4E5C"/>
          <w:sz w:val="25"/>
          <w:szCs w:val="25"/>
        </w:rPr>
        <w:t xml:space="preserve">7.2 Negative mode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4E5C" w:color="1F4E5C" w:val="clear"/>
            <w:tcMar>
              <w:top w:type="dxa" w:w="100"/>
              <w:left w:type="dxa" w:w="120"/>
              <w:bottom w:type="dxa" w:w="100"/>
              <w:right w:type="dxa" w:w="120"/>
            </w:tcMar>
            <w:vAlign w:val="center"/>
          </w:tcPr>
          <w:p>
            <w:r>
              <w:rPr>
                <w:b/>
                <w:bCs/>
                <w:color w:val="FFFFFF"/>
                <w:sz w:val="20"/>
                <w:szCs w:val="20"/>
              </w:rPr>
              <w:t xml:space="preserve">Parameter</w:t>
            </w:r>
          </w:p>
        </w:tc>
        <w:tc>
          <w:tcPr>
            <w:tcW w:type="dxa" w:w="5300"/>
            <w:shd w:fill="1F4E5C" w:color="1F4E5C" w:val="clear"/>
            <w:tcMar>
              <w:top w:type="dxa" w:w="100"/>
              <w:left w:type="dxa" w:w="120"/>
              <w:bottom w:type="dxa" w:w="100"/>
              <w:right w:type="dxa" w:w="120"/>
            </w:tcMar>
            <w:vAlign w:val="center"/>
          </w:tcPr>
          <w:p>
            <w:r>
              <w:rPr>
                <w:b/>
                <w:bCs/>
                <w:color w:val="FFFFFF"/>
                <w:sz w:val="20"/>
                <w:szCs w:val="20"/>
              </w:rPr>
              <w:t xml:space="preserve">Value</w:t>
            </w:r>
          </w:p>
        </w:tc>
      </w:tr>
      <w:tr>
        <w:tc>
          <w:tcPr>
            <w:tcW w:type="dxa" w:w="4200"/>
            <w:tcMar>
              <w:top w:type="dxa" w:w="90"/>
              <w:left w:type="dxa" w:w="120"/>
              <w:bottom w:type="dxa" w:w="90"/>
              <w:right w:type="dxa" w:w="120"/>
            </w:tcMar>
            <w:vAlign w:val="center"/>
          </w:tcPr>
          <w:p>
            <w:r>
              <w:rPr>
                <w:sz w:val="20"/>
                <w:szCs w:val="20"/>
              </w:rPr>
              <w:t xml:space="preserve">Data type</w:t>
            </w:r>
          </w:p>
        </w:tc>
        <w:tc>
          <w:tcPr>
            <w:tcW w:type="dxa" w:w="5300"/>
            <w:tcMar>
              <w:top w:type="dxa" w:w="90"/>
              <w:left w:type="dxa" w:w="120"/>
              <w:bottom w:type="dxa" w:w="90"/>
              <w:right w:type="dxa" w:w="120"/>
            </w:tcMar>
            <w:vAlign w:val="center"/>
          </w:tcPr>
          <w:p>
            <w:r>
              <w:rPr>
                <w:sz w:val="20"/>
                <w:szCs w:val="20"/>
              </w:rPr>
              <w:t xml:space="preserve">Centroid</w:t>
            </w:r>
          </w:p>
        </w:tc>
      </w:tr>
      <w:tr>
        <w:tc>
          <w:tcPr>
            <w:tcW w:type="dxa" w:w="4200"/>
            <w:shd w:fill="F7F9F9" w:val="clear"/>
            <w:tcMar>
              <w:top w:type="dxa" w:w="90"/>
              <w:left w:type="dxa" w:w="120"/>
              <w:bottom w:type="dxa" w:w="90"/>
              <w:right w:type="dxa" w:w="120"/>
            </w:tcMar>
            <w:vAlign w:val="center"/>
          </w:tcPr>
          <w:p>
            <w:r>
              <w:rPr>
                <w:sz w:val="20"/>
                <w:szCs w:val="20"/>
              </w:rPr>
              <w:t xml:space="preserve">Ion mode</w:t>
            </w:r>
          </w:p>
        </w:tc>
        <w:tc>
          <w:tcPr>
            <w:tcW w:type="dxa" w:w="5300"/>
            <w:shd w:fill="F7F9F9" w:val="clear"/>
            <w:tcMar>
              <w:top w:type="dxa" w:w="90"/>
              <w:left w:type="dxa" w:w="120"/>
              <w:bottom w:type="dxa" w:w="90"/>
              <w:right w:type="dxa" w:w="120"/>
            </w:tcMar>
            <w:vAlign w:val="center"/>
          </w:tcPr>
          <w:p>
            <w:r>
              <w:rPr>
                <w:sz w:val="20"/>
                <w:szCs w:val="20"/>
              </w:rPr>
              <w:t xml:space="preserve">Negative</w:t>
            </w:r>
          </w:p>
        </w:tc>
      </w:tr>
      <w:tr>
        <w:tc>
          <w:tcPr>
            <w:tcW w:type="dxa" w:w="4200"/>
            <w:tcMar>
              <w:top w:type="dxa" w:w="90"/>
              <w:left w:type="dxa" w:w="120"/>
              <w:bottom w:type="dxa" w:w="90"/>
              <w:right w:type="dxa" w:w="120"/>
            </w:tcMar>
            <w:vAlign w:val="center"/>
          </w:tcPr>
          <w:p>
            <w:r>
              <w:rPr>
                <w:sz w:val="20"/>
                <w:szCs w:val="20"/>
              </w:rPr>
              <w:t xml:space="preserve">Target omics</w:t>
            </w:r>
          </w:p>
        </w:tc>
        <w:tc>
          <w:tcPr>
            <w:tcW w:type="dxa" w:w="5300"/>
            <w:tcMar>
              <w:top w:type="dxa" w:w="90"/>
              <w:left w:type="dxa" w:w="120"/>
              <w:bottom w:type="dxa" w:w="90"/>
              <w:right w:type="dxa" w:w="120"/>
            </w:tcMar>
            <w:vAlign w:val="center"/>
          </w:tcPr>
          <w:p>
            <w:r>
              <w:rPr>
                <w:sz w:val="20"/>
                <w:szCs w:val="20"/>
              </w:rPr>
              <w:t xml:space="preserve">Lipidomics</w:t>
            </w:r>
          </w:p>
        </w:tc>
      </w:tr>
      <w:tr>
        <w:tc>
          <w:tcPr>
            <w:tcW w:type="dxa" w:w="4200"/>
            <w:shd w:fill="F7F9F9" w:val="clear"/>
            <w:tcMar>
              <w:top w:type="dxa" w:w="90"/>
              <w:left w:type="dxa" w:w="120"/>
              <w:bottom w:type="dxa" w:w="90"/>
              <w:right w:type="dxa" w:w="120"/>
            </w:tcMar>
            <w:vAlign w:val="center"/>
          </w:tcPr>
          <w:p>
            <w:r>
              <w:rPr>
                <w:sz w:val="20"/>
                <w:szCs w:val="20"/>
              </w:rPr>
              <w:t xml:space="preserve">Ionization</w:t>
            </w:r>
          </w:p>
        </w:tc>
        <w:tc>
          <w:tcPr>
            <w:tcW w:type="dxa" w:w="5300"/>
            <w:shd w:fill="F7F9F9" w:val="clear"/>
            <w:tcMar>
              <w:top w:type="dxa" w:w="90"/>
              <w:left w:type="dxa" w:w="120"/>
              <w:bottom w:type="dxa" w:w="90"/>
              <w:right w:type="dxa" w:w="120"/>
            </w:tcMar>
            <w:vAlign w:val="center"/>
          </w:tcPr>
          <w:p>
            <w:r>
              <w:rPr>
                <w:sz w:val="20"/>
                <w:szCs w:val="20"/>
              </w:rPr>
              <w:t xml:space="preserve">ESI</w:t>
            </w:r>
          </w:p>
        </w:tc>
      </w:tr>
      <w:tr>
        <w:tc>
          <w:tcPr>
            <w:tcW w:type="dxa" w:w="4200"/>
            <w:tcMar>
              <w:top w:type="dxa" w:w="90"/>
              <w:left w:type="dxa" w:w="120"/>
              <w:bottom w:type="dxa" w:w="90"/>
              <w:right w:type="dxa" w:w="120"/>
            </w:tcMar>
            <w:vAlign w:val="center"/>
          </w:tcPr>
          <w:p>
            <w:r>
              <w:rPr>
                <w:sz w:val="20"/>
                <w:szCs w:val="20"/>
              </w:rPr>
              <w:t xml:space="preserve">MS1 tolerance</w:t>
            </w:r>
          </w:p>
        </w:tc>
        <w:tc>
          <w:tcPr>
            <w:tcW w:type="dxa" w:w="5300"/>
            <w:tcMar>
              <w:top w:type="dxa" w:w="90"/>
              <w:left w:type="dxa" w:w="120"/>
              <w:bottom w:type="dxa" w:w="90"/>
              <w:right w:type="dxa" w:w="120"/>
            </w:tcMar>
            <w:vAlign w:val="center"/>
          </w:tcPr>
          <w:p>
            <w:r>
              <w:rPr>
                <w:sz w:val="20"/>
                <w:szCs w:val="20"/>
              </w:rPr>
              <w:t xml:space="preserve">0.01</w:t>
            </w:r>
          </w:p>
        </w:tc>
      </w:tr>
      <w:tr>
        <w:tc>
          <w:tcPr>
            <w:tcW w:type="dxa" w:w="4200"/>
            <w:shd w:fill="F7F9F9" w:val="clear"/>
            <w:tcMar>
              <w:top w:type="dxa" w:w="90"/>
              <w:left w:type="dxa" w:w="120"/>
              <w:bottom w:type="dxa" w:w="90"/>
              <w:right w:type="dxa" w:w="120"/>
            </w:tcMar>
            <w:vAlign w:val="center"/>
          </w:tcPr>
          <w:p>
            <w:r>
              <w:rPr>
                <w:sz w:val="20"/>
                <w:szCs w:val="20"/>
              </w:rPr>
              <w:t xml:space="preserve">MS2 tolerance</w:t>
            </w:r>
          </w:p>
        </w:tc>
        <w:tc>
          <w:tcPr>
            <w:tcW w:type="dxa" w:w="5300"/>
            <w:shd w:fill="F7F9F9" w:val="clear"/>
            <w:tcMar>
              <w:top w:type="dxa" w:w="90"/>
              <w:left w:type="dxa" w:w="120"/>
              <w:bottom w:type="dxa" w:w="90"/>
              <w:right w:type="dxa" w:w="120"/>
            </w:tcMar>
            <w:vAlign w:val="center"/>
          </w:tcPr>
          <w:p>
            <w:r>
              <w:rPr>
                <w:sz w:val="20"/>
                <w:szCs w:val="20"/>
              </w:rPr>
              <w:t xml:space="preserve">0.025</w:t>
            </w:r>
          </w:p>
        </w:tc>
      </w:tr>
      <w:tr>
        <w:tc>
          <w:tcPr>
            <w:tcW w:type="dxa" w:w="4200"/>
            <w:tcMar>
              <w:top w:type="dxa" w:w="90"/>
              <w:left w:type="dxa" w:w="120"/>
              <w:bottom w:type="dxa" w:w="90"/>
              <w:right w:type="dxa" w:w="120"/>
            </w:tcMar>
            <w:vAlign w:val="center"/>
          </w:tcPr>
          <w:p>
            <w:r>
              <w:rPr>
                <w:sz w:val="20"/>
                <w:szCs w:val="20"/>
              </w:rPr>
              <w:t xml:space="preserve">Adducts</w:t>
            </w:r>
          </w:p>
        </w:tc>
        <w:tc>
          <w:tcPr>
            <w:tcW w:type="dxa" w:w="5300"/>
            <w:tcMar>
              <w:top w:type="dxa" w:w="90"/>
              <w:left w:type="dxa" w:w="120"/>
              <w:bottom w:type="dxa" w:w="90"/>
              <w:right w:type="dxa" w:w="120"/>
            </w:tcMar>
            <w:vAlign w:val="center"/>
          </w:tcPr>
          <w:p>
            <w:r>
              <w:rPr>
                <w:sz w:val="20"/>
                <w:szCs w:val="20"/>
              </w:rPr>
              <w:t xml:space="preserve">[M-H]-, [M+HCOO]-</w:t>
            </w:r>
          </w:p>
        </w:tc>
      </w:tr>
      <w:tr>
        <w:tc>
          <w:tcPr>
            <w:tcW w:type="dxa" w:w="4200"/>
            <w:shd w:fill="F7F9F9" w:val="clear"/>
            <w:tcMar>
              <w:top w:type="dxa" w:w="90"/>
              <w:left w:type="dxa" w:w="120"/>
              <w:bottom w:type="dxa" w:w="90"/>
              <w:right w:type="dxa" w:w="120"/>
            </w:tcMar>
            <w:vAlign w:val="center"/>
          </w:tcPr>
          <w:p>
            <w:r>
              <w:rPr>
                <w:sz w:val="20"/>
                <w:szCs w:val="20"/>
              </w:rPr>
              <w:t xml:space="preserve">MSP library</w:t>
            </w:r>
          </w:p>
        </w:tc>
        <w:tc>
          <w:tcPr>
            <w:tcW w:type="dxa" w:w="5300"/>
            <w:shd w:fill="F7F9F9" w:val="clear"/>
            <w:tcMar>
              <w:top w:type="dxa" w:w="90"/>
              <w:left w:type="dxa" w:w="120"/>
              <w:bottom w:type="dxa" w:w="90"/>
              <w:right w:type="dxa" w:w="120"/>
            </w:tcMar>
            <w:vAlign w:val="center"/>
          </w:tcPr>
          <w:p>
            <w:r>
              <w:rPr>
                <w:sz w:val="20"/>
                <w:szCs w:val="20"/>
              </w:rPr>
              <w:t xml:space="preserve">MSDIAL-InsilicoMSMS-Lipids-Neg.msp</w:t>
            </w:r>
          </w:p>
        </w:tc>
      </w:tr>
      <w:tr>
        <w:tc>
          <w:tcPr>
            <w:tcW w:type="dxa" w:w="4200"/>
            <w:tcMar>
              <w:top w:type="dxa" w:w="90"/>
              <w:left w:type="dxa" w:w="120"/>
              <w:bottom w:type="dxa" w:w="90"/>
              <w:right w:type="dxa" w:w="120"/>
            </w:tcMar>
            <w:vAlign w:val="center"/>
          </w:tcPr>
          <w:p>
            <w:r>
              <w:rPr>
                <w:sz w:val="20"/>
                <w:szCs w:val="20"/>
              </w:rPr>
              <w:t xml:space="preserve">Minimum peak height</w:t>
            </w:r>
          </w:p>
        </w:tc>
        <w:tc>
          <w:tcPr>
            <w:tcW w:type="dxa" w:w="5300"/>
            <w:tcMar>
              <w:top w:type="dxa" w:w="90"/>
              <w:left w:type="dxa" w:w="120"/>
              <w:bottom w:type="dxa" w:w="90"/>
              <w:right w:type="dxa" w:w="120"/>
            </w:tcMar>
            <w:vAlign w:val="center"/>
          </w:tcPr>
          <w:p>
            <w:r>
              <w:rPr>
                <w:sz w:val="20"/>
                <w:szCs w:val="20"/>
              </w:rPr>
              <w:t xml:space="preserve">300</w:t>
            </w:r>
          </w:p>
        </w:tc>
      </w:tr>
      <w:tr>
        <w:tc>
          <w:tcPr>
            <w:tcW w:type="dxa" w:w="4200"/>
            <w:shd w:fill="F7F9F9" w:val="clear"/>
            <w:tcMar>
              <w:top w:type="dxa" w:w="90"/>
              <w:left w:type="dxa" w:w="120"/>
              <w:bottom w:type="dxa" w:w="90"/>
              <w:right w:type="dxa" w:w="120"/>
            </w:tcMar>
            <w:vAlign w:val="center"/>
          </w:tcPr>
          <w:p>
            <w:r>
              <w:rPr>
                <w:sz w:val="20"/>
                <w:szCs w:val="20"/>
              </w:rPr>
              <w:t xml:space="preserve">Minimum peak width</w:t>
            </w:r>
          </w:p>
        </w:tc>
        <w:tc>
          <w:tcPr>
            <w:tcW w:type="dxa" w:w="5300"/>
            <w:shd w:fill="F7F9F9" w:val="clear"/>
            <w:tcMar>
              <w:top w:type="dxa" w:w="90"/>
              <w:left w:type="dxa" w:w="120"/>
              <w:bottom w:type="dxa" w:w="90"/>
              <w:right w:type="dxa" w:w="120"/>
            </w:tcMar>
            <w:vAlign w:val="center"/>
          </w:tcPr>
          <w:p>
            <w:r>
              <w:rPr>
                <w:sz w:val="20"/>
                <w:szCs w:val="20"/>
              </w:rPr>
              <w:t xml:space="preserve">5</w:t>
            </w:r>
          </w:p>
        </w:tc>
      </w:tr>
      <w:tr>
        <w:tc>
          <w:tcPr>
            <w:tcW w:type="dxa" w:w="4200"/>
            <w:tcMar>
              <w:top w:type="dxa" w:w="90"/>
              <w:left w:type="dxa" w:w="120"/>
              <w:bottom w:type="dxa" w:w="90"/>
              <w:right w:type="dxa" w:w="120"/>
            </w:tcMar>
            <w:vAlign w:val="center"/>
          </w:tcPr>
          <w:p>
            <w:r>
              <w:rPr>
                <w:sz w:val="20"/>
                <w:szCs w:val="20"/>
              </w:rPr>
              <w:t xml:space="preserve">Average peak width</w:t>
            </w:r>
          </w:p>
        </w:tc>
        <w:tc>
          <w:tcPr>
            <w:tcW w:type="dxa" w:w="5300"/>
            <w:tcMar>
              <w:top w:type="dxa" w:w="90"/>
              <w:left w:type="dxa" w:w="120"/>
              <w:bottom w:type="dxa" w:w="90"/>
              <w:right w:type="dxa" w:w="120"/>
            </w:tcMar>
            <w:vAlign w:val="center"/>
          </w:tcPr>
          <w:p>
            <w:r>
              <w:rPr>
                <w:sz w:val="20"/>
                <w:szCs w:val="20"/>
              </w:rPr>
              <w:t xml:space="preserve">30</w:t>
            </w:r>
          </w:p>
        </w:tc>
      </w:tr>
      <w:tr>
        <w:tc>
          <w:tcPr>
            <w:tcW w:type="dxa" w:w="4200"/>
            <w:shd w:fill="F7F9F9" w:val="clear"/>
            <w:tcMar>
              <w:top w:type="dxa" w:w="90"/>
              <w:left w:type="dxa" w:w="120"/>
              <w:bottom w:type="dxa" w:w="90"/>
              <w:right w:type="dxa" w:w="120"/>
            </w:tcMar>
            <w:vAlign w:val="center"/>
          </w:tcPr>
          <w:p>
            <w:r>
              <w:rPr>
                <w:sz w:val="20"/>
                <w:szCs w:val="20"/>
              </w:rPr>
              <w:t xml:space="preserve">Mass slice width</w:t>
            </w:r>
          </w:p>
        </w:tc>
        <w:tc>
          <w:tcPr>
            <w:tcW w:type="dxa" w:w="5300"/>
            <w:shd w:fill="F7F9F9" w:val="clear"/>
            <w:tcMar>
              <w:top w:type="dxa" w:w="90"/>
              <w:left w:type="dxa" w:w="120"/>
              <w:bottom w:type="dxa" w:w="90"/>
              <w:right w:type="dxa" w:w="120"/>
            </w:tcMar>
            <w:vAlign w:val="center"/>
          </w:tcPr>
          <w:p>
            <w:r>
              <w:rPr>
                <w:sz w:val="20"/>
                <w:szCs w:val="20"/>
              </w:rPr>
              <w:t xml:space="preserve">0.05</w:t>
            </w:r>
          </w:p>
        </w:tc>
      </w:tr>
      <w:tr>
        <w:tc>
          <w:tcPr>
            <w:tcW w:type="dxa" w:w="4200"/>
            <w:tcMar>
              <w:top w:type="dxa" w:w="90"/>
              <w:left w:type="dxa" w:w="120"/>
              <w:bottom w:type="dxa" w:w="90"/>
              <w:right w:type="dxa" w:w="120"/>
            </w:tcMar>
            <w:vAlign w:val="center"/>
          </w:tcPr>
          <w:p>
            <w:r>
              <w:rPr>
                <w:sz w:val="20"/>
                <w:szCs w:val="20"/>
              </w:rPr>
              <w:t xml:space="preserve">RT range</w:t>
            </w:r>
          </w:p>
        </w:tc>
        <w:tc>
          <w:tcPr>
            <w:tcW w:type="dxa" w:w="5300"/>
            <w:tcMar>
              <w:top w:type="dxa" w:w="90"/>
              <w:left w:type="dxa" w:w="120"/>
              <w:bottom w:type="dxa" w:w="90"/>
              <w:right w:type="dxa" w:w="120"/>
            </w:tcMar>
            <w:vAlign w:val="center"/>
          </w:tcPr>
          <w:p>
            <w:r>
              <w:rPr>
                <w:sz w:val="20"/>
                <w:szCs w:val="20"/>
              </w:rPr>
              <w:t xml:space="preserve">0–100 min</w:t>
            </w:r>
          </w:p>
        </w:tc>
      </w:tr>
      <w:tr>
        <w:tc>
          <w:tcPr>
            <w:tcW w:type="dxa" w:w="4200"/>
            <w:shd w:fill="F7F9F9" w:val="clear"/>
            <w:tcMar>
              <w:top w:type="dxa" w:w="90"/>
              <w:left w:type="dxa" w:w="120"/>
              <w:bottom w:type="dxa" w:w="90"/>
              <w:right w:type="dxa" w:w="120"/>
            </w:tcMar>
            <w:vAlign w:val="center"/>
          </w:tcPr>
          <w:p>
            <w:r>
              <w:rPr>
                <w:sz w:val="20"/>
                <w:szCs w:val="20"/>
              </w:rPr>
              <w:t xml:space="preserve">MS1/MS2 mass range</w:t>
            </w:r>
          </w:p>
        </w:tc>
        <w:tc>
          <w:tcPr>
            <w:tcW w:type="dxa" w:w="5300"/>
            <w:shd w:fill="F7F9F9" w:val="clear"/>
            <w:tcMar>
              <w:top w:type="dxa" w:w="90"/>
              <w:left w:type="dxa" w:w="120"/>
              <w:bottom w:type="dxa" w:w="90"/>
              <w:right w:type="dxa" w:w="120"/>
            </w:tcMar>
            <w:vAlign w:val="center"/>
          </w:tcPr>
          <w:p>
            <w:r>
              <w:rPr>
                <w:sz w:val="20"/>
                <w:szCs w:val="20"/>
              </w:rPr>
              <w:t xml:space="preserve">0–2000</w:t>
            </w:r>
          </w:p>
        </w:tc>
      </w:tr>
      <w:tr>
        <w:tc>
          <w:tcPr>
            <w:tcW w:type="dxa" w:w="4200"/>
            <w:tcMar>
              <w:top w:type="dxa" w:w="90"/>
              <w:left w:type="dxa" w:w="120"/>
              <w:bottom w:type="dxa" w:w="90"/>
              <w:right w:type="dxa" w:w="120"/>
            </w:tcMar>
            <w:vAlign w:val="center"/>
          </w:tcPr>
          <w:p>
            <w:r>
              <w:rPr>
                <w:sz w:val="20"/>
                <w:szCs w:val="20"/>
              </w:rPr>
              <w:t xml:space="preserve">Maximum charge</w:t>
            </w:r>
          </w:p>
        </w:tc>
        <w:tc>
          <w:tcPr>
            <w:tcW w:type="dxa" w:w="5300"/>
            <w:tcMar>
              <w:top w:type="dxa" w:w="90"/>
              <w:left w:type="dxa" w:w="120"/>
              <w:bottom w:type="dxa" w:w="90"/>
              <w:right w:type="dxa" w:w="120"/>
            </w:tcMar>
            <w:vAlign w:val="center"/>
          </w:tcPr>
          <w:p>
            <w:r>
              <w:rPr>
                <w:sz w:val="20"/>
                <w:szCs w:val="20"/>
              </w:rPr>
              <w:t xml:space="preserve">2</w:t>
            </w:r>
          </w:p>
        </w:tc>
      </w:tr>
      <w:tr>
        <w:tc>
          <w:tcPr>
            <w:tcW w:type="dxa" w:w="4200"/>
            <w:shd w:fill="F7F9F9" w:val="clear"/>
            <w:tcMar>
              <w:top w:type="dxa" w:w="90"/>
              <w:left w:type="dxa" w:w="120"/>
              <w:bottom w:type="dxa" w:w="90"/>
              <w:right w:type="dxa" w:w="120"/>
            </w:tcMar>
            <w:vAlign w:val="center"/>
          </w:tcPr>
          <w:p>
            <w:r>
              <w:rPr>
                <w:sz w:val="20"/>
                <w:szCs w:val="20"/>
              </w:rPr>
              <w:t xml:space="preserve">Maximum isotopes</w:t>
            </w:r>
          </w:p>
        </w:tc>
        <w:tc>
          <w:tcPr>
            <w:tcW w:type="dxa" w:w="5300"/>
            <w:shd w:fill="F7F9F9" w:val="clear"/>
            <w:tcMar>
              <w:top w:type="dxa" w:w="90"/>
              <w:left w:type="dxa" w:w="120"/>
              <w:bottom w:type="dxa" w:w="90"/>
              <w:right w:type="dxa" w:w="120"/>
            </w:tcMar>
            <w:vAlign w:val="center"/>
          </w:tcPr>
          <w:p>
            <w:r>
              <w:rPr>
                <w:sz w:val="20"/>
                <w:szCs w:val="20"/>
              </w:rPr>
              <w:t xml:space="preserve">2</w:t>
            </w:r>
          </w:p>
        </w:tc>
      </w:tr>
      <w:tr>
        <w:tc>
          <w:tcPr>
            <w:tcW w:type="dxa" w:w="4200"/>
            <w:tcMar>
              <w:top w:type="dxa" w:w="90"/>
              <w:left w:type="dxa" w:w="120"/>
              <w:bottom w:type="dxa" w:w="90"/>
              <w:right w:type="dxa" w:w="120"/>
            </w:tcMar>
            <w:vAlign w:val="center"/>
          </w:tcPr>
          <w:p>
            <w:r>
              <w:rPr>
                <w:sz w:val="20"/>
                <w:szCs w:val="20"/>
              </w:rPr>
              <w:t xml:space="preserve">Smoothing</w:t>
            </w:r>
          </w:p>
        </w:tc>
        <w:tc>
          <w:tcPr>
            <w:tcW w:type="dxa" w:w="5300"/>
            <w:tcMar>
              <w:top w:type="dxa" w:w="90"/>
              <w:left w:type="dxa" w:w="120"/>
              <w:bottom w:type="dxa" w:w="90"/>
              <w:right w:type="dxa" w:w="120"/>
            </w:tcMar>
            <w:vAlign w:val="center"/>
          </w:tcPr>
          <w:p>
            <w:r>
              <w:rPr>
                <w:sz w:val="20"/>
                <w:szCs w:val="20"/>
              </w:rPr>
              <w:t xml:space="preserve">3</w:t>
            </w:r>
          </w:p>
        </w:tc>
      </w:tr>
      <w:tr>
        <w:tc>
          <w:tcPr>
            <w:tcW w:type="dxa" w:w="4200"/>
            <w:shd w:fill="F7F9F9" w:val="clear"/>
            <w:tcMar>
              <w:top w:type="dxa" w:w="90"/>
              <w:left w:type="dxa" w:w="120"/>
              <w:bottom w:type="dxa" w:w="90"/>
              <w:right w:type="dxa" w:w="120"/>
            </w:tcMar>
            <w:vAlign w:val="center"/>
          </w:tcPr>
          <w:p>
            <w:r>
              <w:rPr>
                <w:sz w:val="20"/>
                <w:szCs w:val="20"/>
              </w:rPr>
              <w:t xml:space="preserve">Deconvolution sigma</w:t>
            </w:r>
          </w:p>
        </w:tc>
        <w:tc>
          <w:tcPr>
            <w:tcW w:type="dxa" w:w="5300"/>
            <w:shd w:fill="F7F9F9" w:val="clear"/>
            <w:tcMar>
              <w:top w:type="dxa" w:w="90"/>
              <w:left w:type="dxa" w:w="120"/>
              <w:bottom w:type="dxa" w:w="90"/>
              <w:right w:type="dxa" w:w="120"/>
            </w:tcMar>
            <w:vAlign w:val="center"/>
          </w:tcPr>
          <w:p>
            <w:r>
              <w:rPr>
                <w:sz w:val="20"/>
                <w:szCs w:val="20"/>
              </w:rPr>
              <w:t xml:space="preserve">0.5</w:t>
            </w:r>
          </w:p>
        </w:tc>
      </w:tr>
      <w:tr>
        <w:tc>
          <w:tcPr>
            <w:tcW w:type="dxa" w:w="4200"/>
            <w:tcMar>
              <w:top w:type="dxa" w:w="90"/>
              <w:left w:type="dxa" w:w="120"/>
              <w:bottom w:type="dxa" w:w="90"/>
              <w:right w:type="dxa" w:w="120"/>
            </w:tcMar>
            <w:vAlign w:val="center"/>
          </w:tcPr>
          <w:p>
            <w:r>
              <w:rPr>
                <w:sz w:val="20"/>
                <w:szCs w:val="20"/>
              </w:rPr>
              <w:t xml:space="preserve">Threads</w:t>
            </w:r>
          </w:p>
        </w:tc>
        <w:tc>
          <w:tcPr>
            <w:tcW w:type="dxa" w:w="5300"/>
            <w:tcMar>
              <w:top w:type="dxa" w:w="90"/>
              <w:left w:type="dxa" w:w="120"/>
              <w:bottom w:type="dxa" w:w="90"/>
              <w:right w:type="dxa" w:w="120"/>
            </w:tcMar>
            <w:vAlign w:val="center"/>
          </w:tcPr>
          <w:p>
            <w:r>
              <w:rPr>
                <w:sz w:val="20"/>
                <w:szCs w:val="20"/>
              </w:rPr>
              <w:t xml:space="preserve">20</w:t>
            </w:r>
          </w:p>
        </w:tc>
      </w:tr>
      <w:tr>
        <w:tc>
          <w:tcPr>
            <w:tcW w:type="dxa" w:w="4200"/>
            <w:shd w:fill="F7F9F9" w:val="clear"/>
            <w:tcMar>
              <w:top w:type="dxa" w:w="90"/>
              <w:left w:type="dxa" w:w="120"/>
              <w:bottom w:type="dxa" w:w="90"/>
              <w:right w:type="dxa" w:w="120"/>
            </w:tcMar>
            <w:vAlign w:val="center"/>
          </w:tcPr>
          <w:p>
            <w:r>
              <w:rPr>
                <w:sz w:val="20"/>
                <w:szCs w:val="20"/>
              </w:rPr>
              <w:t xml:space="preserve">Solvent</w:t>
            </w:r>
          </w:p>
        </w:tc>
        <w:tc>
          <w:tcPr>
            <w:tcW w:type="dxa" w:w="5300"/>
            <w:shd w:fill="F7F9F9" w:val="clear"/>
            <w:tcMar>
              <w:top w:type="dxa" w:w="90"/>
              <w:left w:type="dxa" w:w="120"/>
              <w:bottom w:type="dxa" w:w="90"/>
              <w:right w:type="dxa" w:w="120"/>
            </w:tcMar>
            <w:vAlign w:val="center"/>
          </w:tcPr>
          <w:p>
            <w:r>
              <w:rPr>
                <w:sz w:val="20"/>
                <w:szCs w:val="20"/>
              </w:rPr>
              <w:t xml:space="preserve">HCOONH4</w:t>
            </w:r>
          </w:p>
        </w:tc>
      </w:tr>
    </w:tbl>
    <w:p>
      <w:pPr>
        <w:spacing w:after="200"/>
      </w:pPr>
    </w:p>
    <w:p>
      <w:pPr>
        <w:spacing w:after="160" w:line="288"/>
      </w:pPr>
      <w:r>
        <w:rPr>
          <w:sz w:val="22"/>
          <w:szCs w:val="22"/>
        </w:rPr>
        <w:t xml:space="preserve">The detailed final parameter files are retained separately in the project repository as msdial5_lipidomics_POS_MSP.txt and msdial5_lipidomics_NEG_MSP.txt. They contain the complete searched lipid-class lists and additional annotation/alignment/filtering settings.</w:t>
      </w:r>
    </w:p>
    <w:p>
      <w:pPr>
        <w:pStyle w:val="Heading1"/>
        <w:pBdr>
          <w:bottom w:val="single" w:color="1F4E5C" w:sz="8" w:space="4"/>
        </w:pBdr>
        <w:spacing w:after="200" w:before="480"/>
      </w:pPr>
      <w:r>
        <w:rPr>
          <w:b/>
          <w:bCs/>
          <w:color w:val="1F4E5C"/>
          <w:sz w:val="30"/>
          <w:szCs w:val="30"/>
        </w:rPr>
        <w:t xml:space="preserve">8. Command-Line Execution</w:t>
      </w:r>
    </w:p>
    <w:p>
      <w:pPr>
        <w:spacing w:after="160" w:line="288"/>
      </w:pPr>
      <w:r>
        <w:rPr>
          <w:sz w:val="22"/>
          <w:szCs w:val="22"/>
        </w:rPr>
        <w:t xml:space="preserve">The actual command history shows an initial attempt using lcmsdda, followed by the final lcms command supported by the installed console.</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./MsdialConsoleApp lcmsdda -i ./data/mzml_pos/ -o ./results_pos/ -m param_pos.txt -p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chmod +x MSDIALCUI</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lcmsdda -i ./data/mzml_pos/ -o ./results_pos/ -m param_pos.txt -p</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lcms -i ./data/mzml_pos/ -o ./results_pos/ -m param_pos.txt -p</w:t>
      </w:r>
    </w:p>
    <w:p>
      <w:pPr>
        <w:spacing w:after="220"/>
      </w:pPr>
      <w:r>
        <w:t xml:space="preserve"/>
      </w:r>
    </w:p>
    <w:p>
      <w:pPr>
        <w:spacing w:after="160" w:line="288"/>
      </w:pPr>
      <w:r>
        <w:rPr>
          <w:sz w:val="22"/>
          <w:szCs w:val="22"/>
        </w:rPr>
        <w:t xml:space="preserve">The installed --help output verifies lcms as a supported analysis type. The final organized project is designed to process positive and negative inputs separately.</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 Positive mode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cd ~/Lipidomics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lcms -i ./data/mzml_pos/ -o ./results_pos/ -m param_pos.txt -p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Negative mode: use the negative-mode method file and negative input/output directories</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lcms -i ./data/mzml_neg/ -o ./results_neg/ -m param_neg.txt -p</w:t>
      </w:r>
    </w:p>
    <w:p>
      <w:pPr>
        <w:spacing w:after="220"/>
      </w:pPr>
      <w:r>
        <w:t xml:space="preserve"/>
      </w:r>
    </w:p>
    <w:p>
      <w:pPr>
        <w:pBdr>
          <w:left w:val="single" w:color="1F4E5C" w:sz="18" w:space="8"/>
        </w:pBdr>
        <w:shd w:fill="EAF2F3" w:val="clear"/>
        <w:spacing w:after="200" w:before="80" w:line="276"/>
        <w:ind w:left="120"/>
      </w:pPr>
      <w:r>
        <w:rPr>
          <w:b/>
          <w:bCs/>
          <w:color w:val="1F4E5C"/>
          <w:sz w:val="21"/>
          <w:szCs w:val="21"/>
        </w:rPr>
        <w:t xml:space="preserve">Important: </w:t>
      </w:r>
      <w:r>
        <w:rPr>
          <w:sz w:val="21"/>
          <w:szCs w:val="21"/>
        </w:rPr>
        <w:t xml:space="preserve">The positive command above is the command explicitly recorded in the command history. The negative command follows the same verified console syntax with polarity-specific input, output, and method files.</w:t>
      </w:r>
    </w:p>
    <w:p>
      <w:pPr>
        <w:pStyle w:val="Heading1"/>
        <w:pBdr>
          <w:bottom w:val="single" w:color="1F4E5C" w:sz="8" w:space="4"/>
        </w:pBdr>
        <w:spacing w:after="200" w:before="480"/>
      </w:pPr>
      <w:r>
        <w:rPr>
          <w:b/>
          <w:bCs/>
          <w:color w:val="1F4E5C"/>
          <w:sz w:val="30"/>
          <w:szCs w:val="30"/>
        </w:rPr>
        <w:t xml:space="preserve">9. mzML Input Verification and Troubleshooting</w:t>
      </w:r>
    </w:p>
    <w:p>
      <w:pPr>
        <w:spacing w:after="160" w:line="288"/>
      </w:pPr>
      <w:r>
        <w:rPr>
          <w:sz w:val="22"/>
          <w:szCs w:val="22"/>
        </w:rPr>
        <w:t xml:space="preserve">During workflow development, the mzML files were inspected from the Ubuntu environment. The command history records checks of spectrum counts, MS-level annotations, and positive/negative scan descriptors, as well as extraction of a single scan with MSConvert.</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grep -m1 -A1 "spectrumList count" NewTrialMay19_MZML/VZ0000162_PL_Pos.mzML</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-m1 -A1 "spectrumList count" NewTrialMay19_MZML/VZ0000162_PL_Neg.mzML</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-i "centroid spectrum" NewTrialMay19_MZML/VZ0000162_PL_Pos.mzML | head</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-i "profile spectrum" NewTrialMay19_MZML/VZ0000162_PL_Pos.mzML | head</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'name="ms level"' NewTrialMay19_MZML/VZ0000162_PL_Pos.mzML | head</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'value="2"' NewTrialMay19_MZML/VZ0000162_PL_Pos.mzML | wc -l</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"&lt;spectrum " NewTrialMay19_MZML/VZ0000162_PL_Pos.mzML | wc -l</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msconvert NewTrialMay19_MZML/VZ0000162_PL_Pos.mzML --filter "scanNumber [1 1]" --64 --outfile spectrum.txt</w:t>
      </w:r>
    </w:p>
    <w:p>
      <w:pPr>
        <w:spacing w:after="220"/>
      </w:pPr>
      <w:r>
        <w:t xml:space="preserve"/>
      </w:r>
    </w:p>
    <w:p>
      <w:pPr>
        <w:pBdr>
          <w:left w:val="single" w:color="1F4E5C" w:sz="18" w:space="8"/>
        </w:pBdr>
        <w:shd w:fill="EAF2F3" w:val="clear"/>
        <w:spacing w:after="200" w:before="80" w:line="276"/>
        <w:ind w:left="120"/>
      </w:pPr>
      <w:r>
        <w:rPr>
          <w:b/>
          <w:bCs/>
          <w:color w:val="1F4E5C"/>
          <w:sz w:val="21"/>
          <w:szCs w:val="21"/>
        </w:rPr>
        <w:t xml:space="preserve">Purpose of checks: </w:t>
      </w:r>
      <w:r>
        <w:rPr>
          <w:sz w:val="21"/>
          <w:szCs w:val="21"/>
        </w:rPr>
        <w:t xml:space="preserve">These checks were used to verify the mzML structure and MS-level content when diagnosing processing/annotation behavior.</w:t>
      </w:r>
    </w:p>
    <w:p>
      <w:pPr>
        <w:pStyle w:val="Heading1"/>
        <w:pBdr>
          <w:bottom w:val="single" w:color="1F4E5C" w:sz="8" w:space="4"/>
        </w:pBdr>
        <w:spacing w:after="200" w:before="480"/>
      </w:pPr>
      <w:r>
        <w:rPr>
          <w:b/>
          <w:bCs/>
          <w:color w:val="1F4E5C"/>
          <w:sz w:val="30"/>
          <w:szCs w:val="30"/>
        </w:rPr>
        <w:t xml:space="preserve">10. MS-DIAL Output Files</w:t>
      </w:r>
    </w:p>
    <w:p>
      <w:pPr>
        <w:spacing w:after="160" w:line="288"/>
      </w:pPr>
      <w:r>
        <w:rPr>
          <w:sz w:val="22"/>
          <w:szCs w:val="22"/>
        </w:rPr>
        <w:t xml:space="preserve">The validated run produced standard MS-DIAL project/result files, including mdproject, mdpeak, mdmsp, alignment-related files, and mzTabM output. The organized project then used the .mdpeak files as the source for Python-based summary generation.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5C" w:color="1F4E5C" w:val="clear"/>
            <w:tcMar>
              <w:top w:type="dxa" w:w="100"/>
              <w:left w:type="dxa" w:w="120"/>
              <w:bottom w:type="dxa" w:w="100"/>
              <w:right w:type="dxa" w:w="120"/>
            </w:tcMar>
            <w:vAlign w:val="center"/>
          </w:tcPr>
          <w:p>
            <w:r>
              <w:rPr>
                <w:b/>
                <w:bCs/>
                <w:color w:val="FFFFFF"/>
                <w:sz w:val="20"/>
                <w:szCs w:val="20"/>
              </w:rPr>
              <w:t xml:space="preserve">Output type</w:t>
            </w:r>
          </w:p>
        </w:tc>
        <w:tc>
          <w:tcPr>
            <w:tcW w:type="dxa" w:w="6900"/>
            <w:shd w:fill="1F4E5C" w:color="1F4E5C" w:val="clear"/>
            <w:tcMar>
              <w:top w:type="dxa" w:w="100"/>
              <w:left w:type="dxa" w:w="120"/>
              <w:bottom w:type="dxa" w:w="100"/>
              <w:right w:type="dxa" w:w="120"/>
            </w:tcMar>
            <w:vAlign w:val="center"/>
          </w:tcPr>
          <w:p>
            <w:r>
              <w:rPr>
                <w:b/>
                <w:bCs/>
                <w:color w:val="FFFFFF"/>
                <w:sz w:val="20"/>
                <w:szCs w:val="20"/>
              </w:rPr>
              <w:t xml:space="preserve">Purpose</w:t>
            </w:r>
          </w:p>
        </w:tc>
      </w:tr>
      <w:tr>
        <w:tc>
          <w:tcPr>
            <w:tcW w:type="dxa" w:w="2600"/>
            <w:tcMar>
              <w:top w:type="dxa" w:w="90"/>
              <w:left w:type="dxa" w:w="120"/>
              <w:bottom w:type="dxa" w:w="90"/>
              <w:right w:type="dxa" w:w="120"/>
            </w:tcMar>
            <w:vAlign w:val="center"/>
          </w:tcPr>
          <w:p>
            <w:r>
              <w:rPr>
                <w:sz w:val="20"/>
                <w:szCs w:val="20"/>
              </w:rPr>
              <w:t xml:space="preserve">.mdproject</w:t>
            </w:r>
          </w:p>
        </w:tc>
        <w:tc>
          <w:tcPr>
            <w:tcW w:type="dxa" w:w="6900"/>
            <w:tcMar>
              <w:top w:type="dxa" w:w="90"/>
              <w:left w:type="dxa" w:w="120"/>
              <w:bottom w:type="dxa" w:w="90"/>
              <w:right w:type="dxa" w:w="120"/>
            </w:tcMar>
            <w:vAlign w:val="center"/>
          </w:tcPr>
          <w:p>
            <w:r>
              <w:rPr>
                <w:sz w:val="20"/>
                <w:szCs w:val="20"/>
              </w:rPr>
              <w:t xml:space="preserve">MS-DIAL project information</w:t>
            </w:r>
          </w:p>
        </w:tc>
      </w:tr>
      <w:tr>
        <w:tc>
          <w:tcPr>
            <w:tcW w:type="dxa" w:w="2600"/>
            <w:shd w:fill="F7F9F9" w:val="clear"/>
            <w:tcMar>
              <w:top w:type="dxa" w:w="90"/>
              <w:left w:type="dxa" w:w="120"/>
              <w:bottom w:type="dxa" w:w="90"/>
              <w:right w:type="dxa" w:w="120"/>
            </w:tcMar>
            <w:vAlign w:val="center"/>
          </w:tcPr>
          <w:p>
            <w:r>
              <w:rPr>
                <w:sz w:val="20"/>
                <w:szCs w:val="20"/>
              </w:rPr>
              <w:t xml:space="preserve">.mdpeak</w:t>
            </w:r>
          </w:p>
        </w:tc>
        <w:tc>
          <w:tcPr>
            <w:tcW w:type="dxa" w:w="6900"/>
            <w:shd w:fill="F7F9F9" w:val="clear"/>
            <w:tcMar>
              <w:top w:type="dxa" w:w="90"/>
              <w:left w:type="dxa" w:w="120"/>
              <w:bottom w:type="dxa" w:w="90"/>
              <w:right w:type="dxa" w:w="120"/>
            </w:tcMar>
            <w:vAlign w:val="center"/>
          </w:tcPr>
          <w:p>
            <w:r>
              <w:rPr>
                <w:sz w:val="20"/>
                <w:szCs w:val="20"/>
              </w:rPr>
              <w:t xml:space="preserve">Peak/feature table used for downstream summary extraction</w:t>
            </w:r>
          </w:p>
        </w:tc>
      </w:tr>
      <w:tr>
        <w:tc>
          <w:tcPr>
            <w:tcW w:type="dxa" w:w="2600"/>
            <w:tcMar>
              <w:top w:type="dxa" w:w="90"/>
              <w:left w:type="dxa" w:w="120"/>
              <w:bottom w:type="dxa" w:w="90"/>
              <w:right w:type="dxa" w:w="120"/>
            </w:tcMar>
            <w:vAlign w:val="center"/>
          </w:tcPr>
          <w:p>
            <w:r>
              <w:rPr>
                <w:sz w:val="20"/>
                <w:szCs w:val="20"/>
              </w:rPr>
              <w:t xml:space="preserve">.mdmsp</w:t>
            </w:r>
          </w:p>
        </w:tc>
        <w:tc>
          <w:tcPr>
            <w:tcW w:type="dxa" w:w="6900"/>
            <w:tcMar>
              <w:top w:type="dxa" w:w="90"/>
              <w:left w:type="dxa" w:w="120"/>
              <w:bottom w:type="dxa" w:w="90"/>
              <w:right w:type="dxa" w:w="120"/>
            </w:tcMar>
            <w:vAlign w:val="center"/>
          </w:tcPr>
          <w:p>
            <w:r>
              <w:rPr>
                <w:sz w:val="20"/>
                <w:szCs w:val="20"/>
              </w:rPr>
              <w:t xml:space="preserve">MS/MS spectral information</w:t>
            </w:r>
          </w:p>
        </w:tc>
      </w:tr>
      <w:tr>
        <w:tc>
          <w:tcPr>
            <w:tcW w:type="dxa" w:w="2600"/>
            <w:shd w:fill="F7F9F9" w:val="clear"/>
            <w:tcMar>
              <w:top w:type="dxa" w:w="90"/>
              <w:left w:type="dxa" w:w="120"/>
              <w:bottom w:type="dxa" w:w="90"/>
              <w:right w:type="dxa" w:w="120"/>
            </w:tcMar>
            <w:vAlign w:val="center"/>
          </w:tcPr>
          <w:p>
            <w:r>
              <w:rPr>
                <w:sz w:val="20"/>
                <w:szCs w:val="20"/>
              </w:rPr>
              <w:t xml:space="preserve">.mdalign</w:t>
            </w:r>
          </w:p>
        </w:tc>
        <w:tc>
          <w:tcPr>
            <w:tcW w:type="dxa" w:w="6900"/>
            <w:shd w:fill="F7F9F9" w:val="clear"/>
            <w:tcMar>
              <w:top w:type="dxa" w:w="90"/>
              <w:left w:type="dxa" w:w="120"/>
              <w:bottom w:type="dxa" w:w="90"/>
              <w:right w:type="dxa" w:w="120"/>
            </w:tcMar>
            <w:vAlign w:val="center"/>
          </w:tcPr>
          <w:p>
            <w:r>
              <w:rPr>
                <w:sz w:val="20"/>
                <w:szCs w:val="20"/>
              </w:rPr>
              <w:t xml:space="preserve">Alignment result file when generated</w:t>
            </w:r>
          </w:p>
        </w:tc>
      </w:tr>
      <w:tr>
        <w:tc>
          <w:tcPr>
            <w:tcW w:type="dxa" w:w="2600"/>
            <w:tcMar>
              <w:top w:type="dxa" w:w="90"/>
              <w:left w:type="dxa" w:w="120"/>
              <w:bottom w:type="dxa" w:w="90"/>
              <w:right w:type="dxa" w:w="120"/>
            </w:tcMar>
            <w:vAlign w:val="center"/>
          </w:tcPr>
          <w:p>
            <w:r>
              <w:rPr>
                <w:sz w:val="20"/>
                <w:szCs w:val="20"/>
              </w:rPr>
              <w:t xml:space="preserve">.mzTabM</w:t>
            </w:r>
          </w:p>
        </w:tc>
        <w:tc>
          <w:tcPr>
            <w:tcW w:type="dxa" w:w="6900"/>
            <w:tcMar>
              <w:top w:type="dxa" w:w="90"/>
              <w:left w:type="dxa" w:w="120"/>
              <w:bottom w:type="dxa" w:w="90"/>
              <w:right w:type="dxa" w:w="120"/>
            </w:tcMar>
            <w:vAlign w:val="center"/>
          </w:tcPr>
          <w:p>
            <w:r>
              <w:rPr>
                <w:sz w:val="20"/>
                <w:szCs w:val="20"/>
              </w:rPr>
              <w:t xml:space="preserve">Molecular feature/metabolomics result export</w:t>
            </w:r>
          </w:p>
        </w:tc>
      </w:tr>
      <w:tr>
        <w:tc>
          <w:tcPr>
            <w:tcW w:type="dxa" w:w="2600"/>
            <w:shd w:fill="F7F9F9" w:val="clear"/>
            <w:tcMar>
              <w:top w:type="dxa" w:w="90"/>
              <w:left w:type="dxa" w:w="120"/>
              <w:bottom w:type="dxa" w:w="90"/>
              <w:right w:type="dxa" w:w="120"/>
            </w:tcMar>
            <w:vAlign w:val="center"/>
          </w:tcPr>
          <w:p>
            <w:r>
              <w:rPr>
                <w:sz w:val="20"/>
                <w:szCs w:val="20"/>
              </w:rPr>
              <w:t xml:space="preserve">TSV summary files</w:t>
            </w:r>
          </w:p>
        </w:tc>
        <w:tc>
          <w:tcPr>
            <w:tcW w:type="dxa" w:w="6900"/>
            <w:shd w:fill="F7F9F9" w:val="clear"/>
            <w:tcMar>
              <w:top w:type="dxa" w:w="90"/>
              <w:left w:type="dxa" w:w="120"/>
              <w:bottom w:type="dxa" w:w="90"/>
              <w:right w:type="dxa" w:w="120"/>
            </w:tcMar>
            <w:vAlign w:val="center"/>
          </w:tcPr>
          <w:p>
            <w:r>
              <w:rPr>
                <w:sz w:val="20"/>
                <w:szCs w:val="20"/>
              </w:rPr>
              <w:t xml:space="preserve">Human-readable post-processing summaries</w:t>
            </w:r>
          </w:p>
        </w:tc>
      </w:tr>
    </w:tbl>
    <w:p>
      <w:pPr>
        <w:pStyle w:val="Heading1"/>
        <w:pBdr>
          <w:bottom w:val="single" w:color="1F4E5C" w:sz="8" w:space="4"/>
        </w:pBdr>
        <w:spacing w:after="200" w:before="480"/>
      </w:pPr>
      <w:r>
        <w:rPr>
          <w:b/>
          <w:bCs/>
          <w:color w:val="1F4E5C"/>
          <w:sz w:val="30"/>
          <w:szCs w:val="30"/>
        </w:rPr>
        <w:t xml:space="preserve">11. Python Post-Processing</w:t>
      </w:r>
    </w:p>
    <w:p>
      <w:pPr>
        <w:spacing w:after="160" w:line="288"/>
      </w:pPr>
      <w:r>
        <w:rPr>
          <w:sz w:val="22"/>
          <w:szCs w:val="22"/>
        </w:rPr>
        <w:t xml:space="preserve">The script summarize_msdial.py reads polarity-specific .mdpeak files and generates three types of summaries: sample-level feature/matching statistics, MS/MS-supported annotation tables, and lipid-class distributions.</w:t>
      </w:r>
    </w:p>
    <w:p>
      <w:pPr>
        <w:pStyle w:val="Heading2"/>
        <w:spacing w:after="140" w:before="320"/>
      </w:pPr>
      <w:r>
        <w:rPr>
          <w:b/>
          <w:bCs/>
          <w:color w:val="1F4E5C"/>
          <w:sz w:val="25"/>
          <w:szCs w:val="25"/>
        </w:rPr>
        <w:t xml:space="preserve">11.1 Logic</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For each .mdpeak file: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1. Count all features.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2. Count rows where "m/z matched" == True.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3. Count rows where "MS/MS matched" == True.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4. Count rows where both are True.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5. For rows with both matches, extract annotation fields.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6. Extract the first ontology component as the lipid class.</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7. Write sample-level and lipid-class TSV files.</w:t>
      </w:r>
    </w:p>
    <w:p>
      <w:pPr>
        <w:spacing w:after="220"/>
      </w:pPr>
      <w:r>
        <w:t xml:space="preserve"/>
      </w:r>
    </w:p>
    <w:p>
      <w:pPr>
        <w:pStyle w:val="Heading2"/>
        <w:spacing w:after="140" w:before="320"/>
      </w:pPr>
      <w:r>
        <w:rPr>
          <w:b/>
          <w:bCs/>
          <w:color w:val="1F4E5C"/>
          <w:sz w:val="25"/>
          <w:szCs w:val="25"/>
        </w:rPr>
        <w:t xml:space="preserve">11.2 Output locations</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~/Lipidomics/project/results_summary/</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MSDIAL_sample_summary.tsv</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MSDIAL_MSMS_annotations.tsv</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    &lt;sample&gt;_lipid_classes.tsv</w:t>
      </w:r>
    </w:p>
    <w:p>
      <w:pPr>
        <w:spacing w:after="220"/>
      </w:pPr>
      <w:r>
        <w:t xml:space="preserve"/>
      </w:r>
    </w:p>
    <w:p>
      <w:pPr>
        <w:pBdr>
          <w:left w:val="single" w:color="1F4E5C" w:sz="18" w:space="8"/>
        </w:pBdr>
        <w:shd w:fill="EAF2F3" w:val="clear"/>
        <w:spacing w:after="200" w:before="80" w:line="276"/>
        <w:ind w:left="120"/>
      </w:pPr>
      <w:r>
        <w:rPr>
          <w:b/>
          <w:bCs/>
          <w:color w:val="1F4E5C"/>
          <w:sz w:val="21"/>
          <w:szCs w:val="21"/>
        </w:rPr>
        <w:t xml:space="preserve">Important implementation detail: </w:t>
      </w:r>
      <w:r>
        <w:rPr>
          <w:sz w:val="21"/>
          <w:szCs w:val="21"/>
        </w:rPr>
        <w:t xml:space="preserve">The script only adds a feature to the MS/MS annotation table when both m/z matching and MS/MS matching are True.</w:t>
      </w:r>
    </w:p>
    <w:p>
      <w:pPr>
        <w:pStyle w:val="Heading1"/>
        <w:pBdr>
          <w:bottom w:val="single" w:color="1F4E5C" w:sz="8" w:space="4"/>
        </w:pBdr>
        <w:spacing w:after="200" w:before="480"/>
      </w:pPr>
      <w:r>
        <w:rPr>
          <w:b/>
          <w:bCs/>
          <w:color w:val="1F4E5C"/>
          <w:sz w:val="30"/>
          <w:szCs w:val="30"/>
        </w:rPr>
        <w:t xml:space="preserve">12. Validation Results — VZ0000099</w:t>
      </w:r>
    </w:p>
    <w:tbl>
      <w:tblPr>
        <w:tblW w:type="dxa" w:w="1065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600"/>
        <w:gridCol w:w="1500"/>
        <w:gridCol w:w="1400"/>
        <w:gridCol w:w="1550"/>
      </w:tblGrid>
      <w:tr>
        <w:trPr>
          <w:tblHeader/>
        </w:trPr>
        <w:tc>
          <w:tcPr>
            <w:tcW w:type="dxa" w:w="1500"/>
            <w:shd w:fill="1F4E5C" w:color="1F4E5C" w:val="clear"/>
            <w:tcMar>
              <w:top w:type="dxa" w:w="100"/>
              <w:left w:type="dxa" w:w="120"/>
              <w:bottom w:type="dxa" w:w="100"/>
              <w:right w:type="dxa" w:w="120"/>
            </w:tcMar>
            <w:vAlign w:val="center"/>
          </w:tcPr>
          <w:p>
            <w:r>
              <w:rPr>
                <w:b/>
                <w:bCs/>
                <w:color w:val="FFFFFF"/>
                <w:sz w:val="20"/>
                <w:szCs w:val="20"/>
              </w:rPr>
              <w:t xml:space="preserve">Polarity</w:t>
            </w:r>
          </w:p>
        </w:tc>
        <w:tc>
          <w:tcPr>
            <w:tcW w:type="dxa" w:w="1600"/>
            <w:shd w:fill="1F4E5C" w:color="1F4E5C" w:val="clear"/>
            <w:tcMar>
              <w:top w:type="dxa" w:w="100"/>
              <w:left w:type="dxa" w:w="120"/>
              <w:bottom w:type="dxa" w:w="100"/>
              <w:right w:type="dxa" w:w="120"/>
            </w:tcMar>
            <w:vAlign w:val="center"/>
          </w:tcPr>
          <w:p>
            <w:r>
              <w:rPr>
                <w:b/>
                <w:bCs/>
                <w:color w:val="FFFFFF"/>
                <w:sz w:val="20"/>
                <w:szCs w:val="20"/>
              </w:rPr>
              <w:t xml:space="preserve">Total features</w:t>
            </w:r>
          </w:p>
        </w:tc>
        <w:tc>
          <w:tcPr>
            <w:tcW w:type="dxa" w:w="1500"/>
            <w:shd w:fill="1F4E5C" w:color="1F4E5C" w:val="clear"/>
            <w:tcMar>
              <w:top w:type="dxa" w:w="100"/>
              <w:left w:type="dxa" w:w="120"/>
              <w:bottom w:type="dxa" w:w="100"/>
              <w:right w:type="dxa" w:w="120"/>
            </w:tcMar>
            <w:vAlign w:val="center"/>
          </w:tcPr>
          <w:p>
            <w:r>
              <w:rPr>
                <w:b/>
                <w:bCs/>
                <w:color w:val="FFFFFF"/>
                <w:sz w:val="20"/>
                <w:szCs w:val="20"/>
              </w:rPr>
              <w:t xml:space="preserve">m/z matched</w:t>
            </w:r>
          </w:p>
        </w:tc>
        <w:tc>
          <w:tcPr>
            <w:tcW w:type="dxa" w:w="1600"/>
            <w:shd w:fill="1F4E5C" w:color="1F4E5C" w:val="clear"/>
            <w:tcMar>
              <w:top w:type="dxa" w:w="100"/>
              <w:left w:type="dxa" w:w="120"/>
              <w:bottom w:type="dxa" w:w="100"/>
              <w:right w:type="dxa" w:w="120"/>
            </w:tcMar>
            <w:vAlign w:val="center"/>
          </w:tcPr>
          <w:p>
            <w:r>
              <w:rPr>
                <w:b/>
                <w:bCs/>
                <w:color w:val="FFFFFF"/>
                <w:sz w:val="20"/>
                <w:szCs w:val="20"/>
              </w:rPr>
              <w:t xml:space="preserve">MS/MS matched</w:t>
            </w:r>
          </w:p>
        </w:tc>
        <w:tc>
          <w:tcPr>
            <w:tcW w:type="dxa" w:w="1500"/>
            <w:shd w:fill="1F4E5C" w:color="1F4E5C" w:val="clear"/>
            <w:tcMar>
              <w:top w:type="dxa" w:w="100"/>
              <w:left w:type="dxa" w:w="120"/>
              <w:bottom w:type="dxa" w:w="100"/>
              <w:right w:type="dxa" w:w="120"/>
            </w:tcMar>
            <w:vAlign w:val="center"/>
          </w:tcPr>
          <w:p>
            <w:r>
              <w:rPr>
                <w:b/>
                <w:bCs/>
                <w:color w:val="FFFFFF"/>
                <w:sz w:val="20"/>
                <w:szCs w:val="20"/>
              </w:rPr>
              <w:t xml:space="preserve">Both matched</w:t>
            </w:r>
          </w:p>
        </w:tc>
        <w:tc>
          <w:tcPr>
            <w:tcW w:type="dxa" w:w="1400"/>
            <w:shd w:fill="1F4E5C" w:color="1F4E5C" w:val="clear"/>
            <w:tcMar>
              <w:top w:type="dxa" w:w="100"/>
              <w:left w:type="dxa" w:w="120"/>
              <w:bottom w:type="dxa" w:w="100"/>
              <w:right w:type="dxa" w:w="120"/>
            </w:tcMar>
            <w:vAlign w:val="center"/>
          </w:tcPr>
          <w:p>
            <w:r>
              <w:rPr>
                <w:b/>
                <w:bCs/>
                <w:color w:val="FFFFFF"/>
                <w:sz w:val="20"/>
                <w:szCs w:val="20"/>
              </w:rPr>
              <w:t xml:space="preserve">m/z match %</w:t>
            </w:r>
          </w:p>
        </w:tc>
        <w:tc>
          <w:tcPr>
            <w:tcW w:type="dxa" w:w="1550"/>
            <w:shd w:fill="1F4E5C" w:color="1F4E5C" w:val="clear"/>
            <w:tcMar>
              <w:top w:type="dxa" w:w="100"/>
              <w:left w:type="dxa" w:w="120"/>
              <w:bottom w:type="dxa" w:w="100"/>
              <w:right w:type="dxa" w:w="120"/>
            </w:tcMar>
            <w:vAlign w:val="center"/>
          </w:tcPr>
          <w:p>
            <w:r>
              <w:rPr>
                <w:b/>
                <w:bCs/>
                <w:color w:val="FFFFFF"/>
                <w:sz w:val="20"/>
                <w:szCs w:val="20"/>
              </w:rPr>
              <w:t xml:space="preserve">MS/MS match %</w:t>
            </w:r>
          </w:p>
        </w:tc>
      </w:tr>
      <w:tr>
        <w:tc>
          <w:tcPr>
            <w:tcW w:type="dxa" w:w="1500"/>
            <w:tcMar>
              <w:top w:type="dxa" w:w="90"/>
              <w:left w:type="dxa" w:w="120"/>
              <w:bottom w:type="dxa" w:w="90"/>
              <w:right w:type="dxa" w:w="120"/>
            </w:tcMar>
            <w:vAlign w:val="center"/>
          </w:tcPr>
          <w:p>
            <w:r>
              <w:rPr>
                <w:sz w:val="20"/>
                <w:szCs w:val="20"/>
              </w:rPr>
              <w:t xml:space="preserve">Positive</w:t>
            </w:r>
          </w:p>
        </w:tc>
        <w:tc>
          <w:tcPr>
            <w:tcW w:type="dxa" w:w="1600"/>
            <w:tcMar>
              <w:top w:type="dxa" w:w="90"/>
              <w:left w:type="dxa" w:w="120"/>
              <w:bottom w:type="dxa" w:w="90"/>
              <w:right w:type="dxa" w:w="120"/>
            </w:tcMar>
            <w:vAlign w:val="center"/>
          </w:tcPr>
          <w:p>
            <w:r>
              <w:rPr>
                <w:sz w:val="20"/>
                <w:szCs w:val="20"/>
              </w:rPr>
              <w:t xml:space="preserve">13,032</w:t>
            </w:r>
          </w:p>
        </w:tc>
        <w:tc>
          <w:tcPr>
            <w:tcW w:type="dxa" w:w="1500"/>
            <w:tcMar>
              <w:top w:type="dxa" w:w="90"/>
              <w:left w:type="dxa" w:w="120"/>
              <w:bottom w:type="dxa" w:w="90"/>
              <w:right w:type="dxa" w:w="120"/>
            </w:tcMar>
            <w:vAlign w:val="center"/>
          </w:tcPr>
          <w:p>
            <w:r>
              <w:rPr>
                <w:sz w:val="20"/>
                <w:szCs w:val="20"/>
              </w:rPr>
              <w:t xml:space="preserve">2,499</w:t>
            </w:r>
          </w:p>
        </w:tc>
        <w:tc>
          <w:tcPr>
            <w:tcW w:type="dxa" w:w="1600"/>
            <w:tcMar>
              <w:top w:type="dxa" w:w="90"/>
              <w:left w:type="dxa" w:w="120"/>
              <w:bottom w:type="dxa" w:w="90"/>
              <w:right w:type="dxa" w:w="120"/>
            </w:tcMar>
            <w:vAlign w:val="center"/>
          </w:tcPr>
          <w:p>
            <w:r>
              <w:rPr>
                <w:sz w:val="20"/>
                <w:szCs w:val="20"/>
              </w:rPr>
              <w:t xml:space="preserve">472</w:t>
            </w:r>
          </w:p>
        </w:tc>
        <w:tc>
          <w:tcPr>
            <w:tcW w:type="dxa" w:w="1500"/>
            <w:tcMar>
              <w:top w:type="dxa" w:w="90"/>
              <w:left w:type="dxa" w:w="120"/>
              <w:bottom w:type="dxa" w:w="90"/>
              <w:right w:type="dxa" w:w="120"/>
            </w:tcMar>
            <w:vAlign w:val="center"/>
          </w:tcPr>
          <w:p>
            <w:r>
              <w:rPr>
                <w:sz w:val="20"/>
                <w:szCs w:val="20"/>
              </w:rPr>
              <w:t xml:space="preserve">472</w:t>
            </w:r>
          </w:p>
        </w:tc>
        <w:tc>
          <w:tcPr>
            <w:tcW w:type="dxa" w:w="1400"/>
            <w:tcMar>
              <w:top w:type="dxa" w:w="90"/>
              <w:left w:type="dxa" w:w="120"/>
              <w:bottom w:type="dxa" w:w="90"/>
              <w:right w:type="dxa" w:w="120"/>
            </w:tcMar>
            <w:vAlign w:val="center"/>
          </w:tcPr>
          <w:p>
            <w:r>
              <w:rPr>
                <w:sz w:val="20"/>
                <w:szCs w:val="20"/>
              </w:rPr>
              <w:t xml:space="preserve">19.18%</w:t>
            </w:r>
          </w:p>
        </w:tc>
        <w:tc>
          <w:tcPr>
            <w:tcW w:type="dxa" w:w="1550"/>
            <w:tcMar>
              <w:top w:type="dxa" w:w="90"/>
              <w:left w:type="dxa" w:w="120"/>
              <w:bottom w:type="dxa" w:w="90"/>
              <w:right w:type="dxa" w:w="120"/>
            </w:tcMar>
            <w:vAlign w:val="center"/>
          </w:tcPr>
          <w:p>
            <w:r>
              <w:rPr>
                <w:sz w:val="20"/>
                <w:szCs w:val="20"/>
              </w:rPr>
              <w:t xml:space="preserve">3.62%</w:t>
            </w:r>
          </w:p>
        </w:tc>
      </w:tr>
      <w:tr>
        <w:tc>
          <w:tcPr>
            <w:tcW w:type="dxa" w:w="1500"/>
            <w:shd w:fill="F7F9F9" w:val="clear"/>
            <w:tcMar>
              <w:top w:type="dxa" w:w="90"/>
              <w:left w:type="dxa" w:w="120"/>
              <w:bottom w:type="dxa" w:w="90"/>
              <w:right w:type="dxa" w:w="120"/>
            </w:tcMar>
            <w:vAlign w:val="center"/>
          </w:tcPr>
          <w:p>
            <w:r>
              <w:rPr>
                <w:sz w:val="20"/>
                <w:szCs w:val="20"/>
              </w:rPr>
              <w:t xml:space="preserve">Negative</w:t>
            </w:r>
          </w:p>
        </w:tc>
        <w:tc>
          <w:tcPr>
            <w:tcW w:type="dxa" w:w="1600"/>
            <w:shd w:fill="F7F9F9" w:val="clear"/>
            <w:tcMar>
              <w:top w:type="dxa" w:w="90"/>
              <w:left w:type="dxa" w:w="120"/>
              <w:bottom w:type="dxa" w:w="90"/>
              <w:right w:type="dxa" w:w="120"/>
            </w:tcMar>
            <w:vAlign w:val="center"/>
          </w:tcPr>
          <w:p>
            <w:r>
              <w:rPr>
                <w:sz w:val="20"/>
                <w:szCs w:val="20"/>
              </w:rPr>
              <w:t xml:space="preserve">16,036</w:t>
            </w:r>
          </w:p>
        </w:tc>
        <w:tc>
          <w:tcPr>
            <w:tcW w:type="dxa" w:w="1500"/>
            <w:shd w:fill="F7F9F9" w:val="clear"/>
            <w:tcMar>
              <w:top w:type="dxa" w:w="90"/>
              <w:left w:type="dxa" w:w="120"/>
              <w:bottom w:type="dxa" w:w="90"/>
              <w:right w:type="dxa" w:w="120"/>
            </w:tcMar>
            <w:vAlign w:val="center"/>
          </w:tcPr>
          <w:p>
            <w:r>
              <w:rPr>
                <w:sz w:val="20"/>
                <w:szCs w:val="20"/>
              </w:rPr>
              <w:t xml:space="preserve">3,254</w:t>
            </w:r>
          </w:p>
        </w:tc>
        <w:tc>
          <w:tcPr>
            <w:tcW w:type="dxa" w:w="1600"/>
            <w:shd w:fill="F7F9F9" w:val="clear"/>
            <w:tcMar>
              <w:top w:type="dxa" w:w="90"/>
              <w:left w:type="dxa" w:w="120"/>
              <w:bottom w:type="dxa" w:w="90"/>
              <w:right w:type="dxa" w:w="120"/>
            </w:tcMar>
            <w:vAlign w:val="center"/>
          </w:tcPr>
          <w:p>
            <w:r>
              <w:rPr>
                <w:sz w:val="20"/>
                <w:szCs w:val="20"/>
              </w:rPr>
              <w:t xml:space="preserve">248</w:t>
            </w:r>
          </w:p>
        </w:tc>
        <w:tc>
          <w:tcPr>
            <w:tcW w:type="dxa" w:w="1500"/>
            <w:shd w:fill="F7F9F9" w:val="clear"/>
            <w:tcMar>
              <w:top w:type="dxa" w:w="90"/>
              <w:left w:type="dxa" w:w="120"/>
              <w:bottom w:type="dxa" w:w="90"/>
              <w:right w:type="dxa" w:w="120"/>
            </w:tcMar>
            <w:vAlign w:val="center"/>
          </w:tcPr>
          <w:p>
            <w:r>
              <w:rPr>
                <w:sz w:val="20"/>
                <w:szCs w:val="20"/>
              </w:rPr>
              <w:t xml:space="preserve">248</w:t>
            </w:r>
          </w:p>
        </w:tc>
        <w:tc>
          <w:tcPr>
            <w:tcW w:type="dxa" w:w="1400"/>
            <w:shd w:fill="F7F9F9" w:val="clear"/>
            <w:tcMar>
              <w:top w:type="dxa" w:w="90"/>
              <w:left w:type="dxa" w:w="120"/>
              <w:bottom w:type="dxa" w:w="90"/>
              <w:right w:type="dxa" w:w="120"/>
            </w:tcMar>
            <w:vAlign w:val="center"/>
          </w:tcPr>
          <w:p>
            <w:r>
              <w:rPr>
                <w:sz w:val="20"/>
                <w:szCs w:val="20"/>
              </w:rPr>
              <w:t xml:space="preserve">20.29%</w:t>
            </w:r>
          </w:p>
        </w:tc>
        <w:tc>
          <w:tcPr>
            <w:tcW w:type="dxa" w:w="1550"/>
            <w:shd w:fill="F7F9F9" w:val="clear"/>
            <w:tcMar>
              <w:top w:type="dxa" w:w="90"/>
              <w:left w:type="dxa" w:w="120"/>
              <w:bottom w:type="dxa" w:w="90"/>
              <w:right w:type="dxa" w:w="120"/>
            </w:tcMar>
            <w:vAlign w:val="center"/>
          </w:tcPr>
          <w:p>
            <w:r>
              <w:rPr>
                <w:sz w:val="20"/>
                <w:szCs w:val="20"/>
              </w:rPr>
              <w:t xml:space="preserve">1.55%</w:t>
            </w:r>
          </w:p>
        </w:tc>
      </w:tr>
    </w:tbl>
    <w:p>
      <w:pPr>
        <w:spacing w:after="160"/>
      </w:pPr>
    </w:p>
    <w:p>
      <w:pPr>
        <w:spacing w:after="160" w:line="288"/>
      </w:pPr>
      <w:r>
        <w:rPr>
          <w:sz w:val="22"/>
          <w:szCs w:val="22"/>
        </w:rPr>
        <w:t xml:space="preserve">The equality of the MS/MS-matched and m/z + MS/MS-matched counts reflects the post-processing logic and the observed result table: the MS/MS-supported entries retained for annotation were also m/z matched.</w:t>
      </w:r>
    </w:p>
    <w:p>
      <w:pPr>
        <w:pStyle w:val="Heading1"/>
        <w:pBdr>
          <w:bottom w:val="single" w:color="1F4E5C" w:sz="8" w:space="4"/>
        </w:pBdr>
        <w:spacing w:after="200" w:before="480"/>
      </w:pPr>
      <w:r>
        <w:rPr>
          <w:b/>
          <w:bCs/>
          <w:color w:val="1F4E5C"/>
          <w:sz w:val="30"/>
          <w:szCs w:val="30"/>
        </w:rPr>
        <w:t xml:space="preserve">13. Lipid-Class Distribution</w:t>
      </w:r>
    </w:p>
    <w:p>
      <w:pPr>
        <w:pStyle w:val="Heading2"/>
        <w:spacing w:after="140" w:before="320"/>
      </w:pPr>
      <w:r>
        <w:rPr>
          <w:b/>
          <w:bCs/>
          <w:color w:val="1F4E5C"/>
          <w:sz w:val="25"/>
          <w:szCs w:val="25"/>
        </w:rPr>
        <w:t xml:space="preserve">13.1 Positive ionization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rPr>
          <w:tblHeader/>
        </w:trPr>
        <w:tc>
          <w:tcPr>
            <w:tcW w:type="dxa" w:w="5000"/>
            <w:shd w:fill="1F4E5C" w:color="1F4E5C" w:val="clear"/>
            <w:tcMar>
              <w:top w:type="dxa" w:w="100"/>
              <w:left w:type="dxa" w:w="120"/>
              <w:bottom w:type="dxa" w:w="100"/>
              <w:right w:type="dxa" w:w="120"/>
            </w:tcMar>
            <w:vAlign w:val="center"/>
          </w:tcPr>
          <w:p>
            <w:r>
              <w:rPr>
                <w:b/>
                <w:bCs/>
                <w:color w:val="FFFFFF"/>
                <w:sz w:val="20"/>
                <w:szCs w:val="20"/>
              </w:rPr>
              <w:t xml:space="preserve">Lipid class</w:t>
            </w:r>
          </w:p>
        </w:tc>
        <w:tc>
          <w:tcPr>
            <w:tcW w:type="dxa" w:w="4500"/>
            <w:shd w:fill="1F4E5C" w:color="1F4E5C" w:val="clear"/>
            <w:tcMar>
              <w:top w:type="dxa" w:w="100"/>
              <w:left w:type="dxa" w:w="120"/>
              <w:bottom w:type="dxa" w:w="100"/>
              <w:right w:type="dxa" w:w="120"/>
            </w:tcMar>
            <w:vAlign w:val="center"/>
          </w:tcPr>
          <w:p>
            <w:r>
              <w:rPr>
                <w:b/>
                <w:bCs/>
                <w:color w:val="FFFFFF"/>
                <w:sz w:val="20"/>
                <w:szCs w:val="20"/>
              </w:rPr>
              <w:t xml:space="preserve">MS/MS-supported annotations</w:t>
            </w:r>
          </w:p>
        </w:tc>
      </w:tr>
      <w:tr>
        <w:tc>
          <w:tcPr>
            <w:tcW w:type="dxa" w:w="5000"/>
            <w:tcMar>
              <w:top w:type="dxa" w:w="90"/>
              <w:left w:type="dxa" w:w="120"/>
              <w:bottom w:type="dxa" w:w="90"/>
              <w:right w:type="dxa" w:w="120"/>
            </w:tcMar>
            <w:vAlign w:val="center"/>
          </w:tcPr>
          <w:p>
            <w:r>
              <w:rPr>
                <w:sz w:val="20"/>
                <w:szCs w:val="20"/>
              </w:rPr>
              <w:t xml:space="preserve">TAG</w:t>
            </w:r>
          </w:p>
        </w:tc>
        <w:tc>
          <w:tcPr>
            <w:tcW w:type="dxa" w:w="4500"/>
            <w:tcMar>
              <w:top w:type="dxa" w:w="90"/>
              <w:left w:type="dxa" w:w="120"/>
              <w:bottom w:type="dxa" w:w="90"/>
              <w:right w:type="dxa" w:w="120"/>
            </w:tcMar>
            <w:vAlign w:val="center"/>
          </w:tcPr>
          <w:p>
            <w:r>
              <w:rPr>
                <w:sz w:val="20"/>
                <w:szCs w:val="20"/>
              </w:rPr>
              <w:t xml:space="preserve">131</w:t>
            </w:r>
          </w:p>
        </w:tc>
      </w:tr>
      <w:tr>
        <w:tc>
          <w:tcPr>
            <w:tcW w:type="dxa" w:w="5000"/>
            <w:shd w:fill="F7F9F9" w:val="clear"/>
            <w:tcMar>
              <w:top w:type="dxa" w:w="90"/>
              <w:left w:type="dxa" w:w="120"/>
              <w:bottom w:type="dxa" w:w="90"/>
              <w:right w:type="dxa" w:w="120"/>
            </w:tcMar>
            <w:vAlign w:val="center"/>
          </w:tcPr>
          <w:p>
            <w:r>
              <w:rPr>
                <w:sz w:val="20"/>
                <w:szCs w:val="20"/>
              </w:rPr>
              <w:t xml:space="preserve">EtherPC</w:t>
            </w:r>
          </w:p>
        </w:tc>
        <w:tc>
          <w:tcPr>
            <w:tcW w:type="dxa" w:w="4500"/>
            <w:shd w:fill="F7F9F9" w:val="clear"/>
            <w:tcMar>
              <w:top w:type="dxa" w:w="90"/>
              <w:left w:type="dxa" w:w="120"/>
              <w:bottom w:type="dxa" w:w="90"/>
              <w:right w:type="dxa" w:w="120"/>
            </w:tcMar>
            <w:vAlign w:val="center"/>
          </w:tcPr>
          <w:p>
            <w:r>
              <w:rPr>
                <w:sz w:val="20"/>
                <w:szCs w:val="20"/>
              </w:rPr>
              <w:t xml:space="preserve">106</w:t>
            </w:r>
          </w:p>
        </w:tc>
      </w:tr>
      <w:tr>
        <w:tc>
          <w:tcPr>
            <w:tcW w:type="dxa" w:w="5000"/>
            <w:tcMar>
              <w:top w:type="dxa" w:w="90"/>
              <w:left w:type="dxa" w:w="120"/>
              <w:bottom w:type="dxa" w:w="90"/>
              <w:right w:type="dxa" w:w="120"/>
            </w:tcMar>
            <w:vAlign w:val="center"/>
          </w:tcPr>
          <w:p>
            <w:r>
              <w:rPr>
                <w:sz w:val="20"/>
                <w:szCs w:val="20"/>
              </w:rPr>
              <w:t xml:space="preserve">PC</w:t>
            </w:r>
          </w:p>
        </w:tc>
        <w:tc>
          <w:tcPr>
            <w:tcW w:type="dxa" w:w="4500"/>
            <w:tcMar>
              <w:top w:type="dxa" w:w="90"/>
              <w:left w:type="dxa" w:w="120"/>
              <w:bottom w:type="dxa" w:w="90"/>
              <w:right w:type="dxa" w:w="120"/>
            </w:tcMar>
            <w:vAlign w:val="center"/>
          </w:tcPr>
          <w:p>
            <w:r>
              <w:rPr>
                <w:sz w:val="20"/>
                <w:szCs w:val="20"/>
              </w:rPr>
              <w:t xml:space="preserve">100</w:t>
            </w:r>
          </w:p>
        </w:tc>
      </w:tr>
      <w:tr>
        <w:tc>
          <w:tcPr>
            <w:tcW w:type="dxa" w:w="5000"/>
            <w:shd w:fill="F7F9F9" w:val="clear"/>
            <w:tcMar>
              <w:top w:type="dxa" w:w="90"/>
              <w:left w:type="dxa" w:w="120"/>
              <w:bottom w:type="dxa" w:w="90"/>
              <w:right w:type="dxa" w:w="120"/>
            </w:tcMar>
            <w:vAlign w:val="center"/>
          </w:tcPr>
          <w:p>
            <w:r>
              <w:rPr>
                <w:sz w:val="20"/>
                <w:szCs w:val="20"/>
              </w:rPr>
              <w:t xml:space="preserve">SM</w:t>
            </w:r>
          </w:p>
        </w:tc>
        <w:tc>
          <w:tcPr>
            <w:tcW w:type="dxa" w:w="4500"/>
            <w:shd w:fill="F7F9F9" w:val="clear"/>
            <w:tcMar>
              <w:top w:type="dxa" w:w="90"/>
              <w:left w:type="dxa" w:w="120"/>
              <w:bottom w:type="dxa" w:w="90"/>
              <w:right w:type="dxa" w:w="120"/>
            </w:tcMar>
            <w:vAlign w:val="center"/>
          </w:tcPr>
          <w:p>
            <w:r>
              <w:rPr>
                <w:sz w:val="20"/>
                <w:szCs w:val="20"/>
              </w:rPr>
              <w:t xml:space="preserve">73</w:t>
            </w:r>
          </w:p>
        </w:tc>
      </w:tr>
      <w:tr>
        <w:tc>
          <w:tcPr>
            <w:tcW w:type="dxa" w:w="5000"/>
            <w:tcMar>
              <w:top w:type="dxa" w:w="90"/>
              <w:left w:type="dxa" w:w="120"/>
              <w:bottom w:type="dxa" w:w="90"/>
              <w:right w:type="dxa" w:w="120"/>
            </w:tcMar>
            <w:vAlign w:val="center"/>
          </w:tcPr>
          <w:p>
            <w:r>
              <w:rPr>
                <w:sz w:val="20"/>
                <w:szCs w:val="20"/>
              </w:rPr>
              <w:t xml:space="preserve">LPC</w:t>
            </w:r>
          </w:p>
        </w:tc>
        <w:tc>
          <w:tcPr>
            <w:tcW w:type="dxa" w:w="4500"/>
            <w:tcMar>
              <w:top w:type="dxa" w:w="90"/>
              <w:left w:type="dxa" w:w="120"/>
              <w:bottom w:type="dxa" w:w="90"/>
              <w:right w:type="dxa" w:w="120"/>
            </w:tcMar>
            <w:vAlign w:val="center"/>
          </w:tcPr>
          <w:p>
            <w:r>
              <w:rPr>
                <w:sz w:val="20"/>
                <w:szCs w:val="20"/>
              </w:rPr>
              <w:t xml:space="preserve">19</w:t>
            </w:r>
          </w:p>
        </w:tc>
      </w:tr>
      <w:tr>
        <w:tc>
          <w:tcPr>
            <w:tcW w:type="dxa" w:w="5000"/>
            <w:shd w:fill="F7F9F9" w:val="clear"/>
            <w:tcMar>
              <w:top w:type="dxa" w:w="90"/>
              <w:left w:type="dxa" w:w="120"/>
              <w:bottom w:type="dxa" w:w="90"/>
              <w:right w:type="dxa" w:w="120"/>
            </w:tcMar>
            <w:vAlign w:val="center"/>
          </w:tcPr>
          <w:p>
            <w:r>
              <w:rPr>
                <w:sz w:val="20"/>
                <w:szCs w:val="20"/>
              </w:rPr>
              <w:t xml:space="preserve">ACar</w:t>
            </w:r>
          </w:p>
        </w:tc>
        <w:tc>
          <w:tcPr>
            <w:tcW w:type="dxa" w:w="4500"/>
            <w:shd w:fill="F7F9F9" w:val="clear"/>
            <w:tcMar>
              <w:top w:type="dxa" w:w="90"/>
              <w:left w:type="dxa" w:w="120"/>
              <w:bottom w:type="dxa" w:w="90"/>
              <w:right w:type="dxa" w:w="120"/>
            </w:tcMar>
            <w:vAlign w:val="center"/>
          </w:tcPr>
          <w:p>
            <w:r>
              <w:rPr>
                <w:sz w:val="20"/>
                <w:szCs w:val="20"/>
              </w:rPr>
              <w:t xml:space="preserve">15</w:t>
            </w:r>
          </w:p>
        </w:tc>
      </w:tr>
      <w:tr>
        <w:tc>
          <w:tcPr>
            <w:tcW w:type="dxa" w:w="5000"/>
            <w:tcMar>
              <w:top w:type="dxa" w:w="90"/>
              <w:left w:type="dxa" w:w="120"/>
              <w:bottom w:type="dxa" w:w="90"/>
              <w:right w:type="dxa" w:w="120"/>
            </w:tcMar>
            <w:vAlign w:val="center"/>
          </w:tcPr>
          <w:p>
            <w:r>
              <w:rPr>
                <w:sz w:val="20"/>
                <w:szCs w:val="20"/>
              </w:rPr>
              <w:t xml:space="preserve">GlcCer_NS</w:t>
            </w:r>
          </w:p>
        </w:tc>
        <w:tc>
          <w:tcPr>
            <w:tcW w:type="dxa" w:w="4500"/>
            <w:tcMar>
              <w:top w:type="dxa" w:w="90"/>
              <w:left w:type="dxa" w:w="120"/>
              <w:bottom w:type="dxa" w:w="90"/>
              <w:right w:type="dxa" w:w="120"/>
            </w:tcMar>
            <w:vAlign w:val="center"/>
          </w:tcPr>
          <w:p>
            <w:r>
              <w:rPr>
                <w:sz w:val="20"/>
                <w:szCs w:val="20"/>
              </w:rPr>
              <w:t xml:space="preserve">6</w:t>
            </w:r>
          </w:p>
        </w:tc>
      </w:tr>
      <w:tr>
        <w:tc>
          <w:tcPr>
            <w:tcW w:type="dxa" w:w="5000"/>
            <w:shd w:fill="F7F9F9" w:val="clear"/>
            <w:tcMar>
              <w:top w:type="dxa" w:w="90"/>
              <w:left w:type="dxa" w:w="120"/>
              <w:bottom w:type="dxa" w:w="90"/>
              <w:right w:type="dxa" w:w="120"/>
            </w:tcMar>
            <w:vAlign w:val="center"/>
          </w:tcPr>
          <w:p>
            <w:r>
              <w:rPr>
                <w:sz w:val="20"/>
                <w:szCs w:val="20"/>
              </w:rPr>
              <w:t xml:space="preserve">CE</w:t>
            </w:r>
          </w:p>
        </w:tc>
        <w:tc>
          <w:tcPr>
            <w:tcW w:type="dxa" w:w="4500"/>
            <w:shd w:fill="F7F9F9" w:val="clear"/>
            <w:tcMar>
              <w:top w:type="dxa" w:w="90"/>
              <w:left w:type="dxa" w:w="120"/>
              <w:bottom w:type="dxa" w:w="90"/>
              <w:right w:type="dxa" w:w="120"/>
            </w:tcMar>
            <w:vAlign w:val="center"/>
          </w:tcPr>
          <w:p>
            <w:r>
              <w:rPr>
                <w:sz w:val="20"/>
                <w:szCs w:val="20"/>
              </w:rPr>
              <w:t xml:space="preserve">6</w:t>
            </w:r>
          </w:p>
        </w:tc>
      </w:tr>
      <w:tr>
        <w:tc>
          <w:tcPr>
            <w:tcW w:type="dxa" w:w="5000"/>
            <w:tcMar>
              <w:top w:type="dxa" w:w="90"/>
              <w:left w:type="dxa" w:w="120"/>
              <w:bottom w:type="dxa" w:w="90"/>
              <w:right w:type="dxa" w:w="120"/>
            </w:tcMar>
            <w:vAlign w:val="center"/>
          </w:tcPr>
          <w:p>
            <w:r>
              <w:rPr>
                <w:sz w:val="20"/>
                <w:szCs w:val="20"/>
              </w:rPr>
              <w:t xml:space="preserve">EtherPE</w:t>
            </w:r>
          </w:p>
        </w:tc>
        <w:tc>
          <w:tcPr>
            <w:tcW w:type="dxa" w:w="4500"/>
            <w:tcMar>
              <w:top w:type="dxa" w:w="90"/>
              <w:left w:type="dxa" w:w="120"/>
              <w:bottom w:type="dxa" w:w="90"/>
              <w:right w:type="dxa" w:w="120"/>
            </w:tcMar>
            <w:vAlign w:val="center"/>
          </w:tcPr>
          <w:p>
            <w:r>
              <w:rPr>
                <w:sz w:val="20"/>
                <w:szCs w:val="20"/>
              </w:rPr>
              <w:t xml:space="preserve">5</w:t>
            </w:r>
          </w:p>
        </w:tc>
      </w:tr>
      <w:tr>
        <w:tc>
          <w:tcPr>
            <w:tcW w:type="dxa" w:w="5000"/>
            <w:shd w:fill="F7F9F9" w:val="clear"/>
            <w:tcMar>
              <w:top w:type="dxa" w:w="90"/>
              <w:left w:type="dxa" w:w="120"/>
              <w:bottom w:type="dxa" w:w="90"/>
              <w:right w:type="dxa" w:w="120"/>
            </w:tcMar>
            <w:vAlign w:val="center"/>
          </w:tcPr>
          <w:p>
            <w:r>
              <w:rPr>
                <w:sz w:val="20"/>
                <w:szCs w:val="20"/>
              </w:rPr>
              <w:t xml:space="preserve">Cer_NS</w:t>
            </w:r>
          </w:p>
        </w:tc>
        <w:tc>
          <w:tcPr>
            <w:tcW w:type="dxa" w:w="4500"/>
            <w:shd w:fill="F7F9F9" w:val="clear"/>
            <w:tcMar>
              <w:top w:type="dxa" w:w="90"/>
              <w:left w:type="dxa" w:w="120"/>
              <w:bottom w:type="dxa" w:w="90"/>
              <w:right w:type="dxa" w:w="120"/>
            </w:tcMar>
            <w:vAlign w:val="center"/>
          </w:tcPr>
          <w:p>
            <w:r>
              <w:rPr>
                <w:sz w:val="20"/>
                <w:szCs w:val="20"/>
              </w:rPr>
              <w:t xml:space="preserve">5</w:t>
            </w:r>
          </w:p>
        </w:tc>
      </w:tr>
      <w:tr>
        <w:tc>
          <w:tcPr>
            <w:tcW w:type="dxa" w:w="5000"/>
            <w:tcMar>
              <w:top w:type="dxa" w:w="90"/>
              <w:left w:type="dxa" w:w="120"/>
              <w:bottom w:type="dxa" w:w="90"/>
              <w:right w:type="dxa" w:w="120"/>
            </w:tcMar>
            <w:vAlign w:val="center"/>
          </w:tcPr>
          <w:p>
            <w:r>
              <w:rPr>
                <w:sz w:val="20"/>
                <w:szCs w:val="20"/>
              </w:rPr>
              <w:t xml:space="preserve">DAG</w:t>
            </w:r>
          </w:p>
        </w:tc>
        <w:tc>
          <w:tcPr>
            <w:tcW w:type="dxa" w:w="4500"/>
            <w:tcMar>
              <w:top w:type="dxa" w:w="90"/>
              <w:left w:type="dxa" w:w="120"/>
              <w:bottom w:type="dxa" w:w="90"/>
              <w:right w:type="dxa" w:w="120"/>
            </w:tcMar>
            <w:vAlign w:val="center"/>
          </w:tcPr>
          <w:p>
            <w:r>
              <w:rPr>
                <w:sz w:val="20"/>
                <w:szCs w:val="20"/>
              </w:rPr>
              <w:t xml:space="preserve">4</w:t>
            </w:r>
          </w:p>
        </w:tc>
      </w:tr>
      <w:tr>
        <w:tc>
          <w:tcPr>
            <w:tcW w:type="dxa" w:w="5000"/>
            <w:shd w:fill="F7F9F9" w:val="clear"/>
            <w:tcMar>
              <w:top w:type="dxa" w:w="90"/>
              <w:left w:type="dxa" w:w="120"/>
              <w:bottom w:type="dxa" w:w="90"/>
              <w:right w:type="dxa" w:w="120"/>
            </w:tcMar>
            <w:vAlign w:val="center"/>
          </w:tcPr>
          <w:p>
            <w:r>
              <w:rPr>
                <w:sz w:val="20"/>
                <w:szCs w:val="20"/>
              </w:rPr>
              <w:t xml:space="preserve">MAG</w:t>
            </w:r>
          </w:p>
        </w:tc>
        <w:tc>
          <w:tcPr>
            <w:tcW w:type="dxa" w:w="4500"/>
            <w:shd w:fill="F7F9F9" w:val="clear"/>
            <w:tcMar>
              <w:top w:type="dxa" w:w="90"/>
              <w:left w:type="dxa" w:w="120"/>
              <w:bottom w:type="dxa" w:w="90"/>
              <w:right w:type="dxa" w:w="120"/>
            </w:tcMar>
            <w:vAlign w:val="center"/>
          </w:tcPr>
          <w:p>
            <w:r>
              <w:rPr>
                <w:sz w:val="20"/>
                <w:szCs w:val="20"/>
              </w:rPr>
              <w:t xml:space="preserve">1</w:t>
            </w:r>
          </w:p>
        </w:tc>
      </w:tr>
      <w:tr>
        <w:tc>
          <w:tcPr>
            <w:tcW w:type="dxa" w:w="5000"/>
            <w:tcMar>
              <w:top w:type="dxa" w:w="90"/>
              <w:left w:type="dxa" w:w="120"/>
              <w:bottom w:type="dxa" w:w="90"/>
              <w:right w:type="dxa" w:w="120"/>
            </w:tcMar>
            <w:vAlign w:val="center"/>
          </w:tcPr>
          <w:p>
            <w:r>
              <w:rPr>
                <w:sz w:val="20"/>
                <w:szCs w:val="20"/>
              </w:rPr>
              <w:t xml:space="preserve">PE</w:t>
            </w:r>
          </w:p>
        </w:tc>
        <w:tc>
          <w:tcPr>
            <w:tcW w:type="dxa" w:w="4500"/>
            <w:tcMar>
              <w:top w:type="dxa" w:w="90"/>
              <w:left w:type="dxa" w:w="120"/>
              <w:bottom w:type="dxa" w:w="90"/>
              <w:right w:type="dxa" w:w="120"/>
            </w:tcMar>
            <w:vAlign w:val="center"/>
          </w:tcPr>
          <w:p>
            <w:r>
              <w:rPr>
                <w:sz w:val="20"/>
                <w:szCs w:val="20"/>
              </w:rPr>
              <w:t xml:space="preserve">1</w:t>
            </w:r>
          </w:p>
        </w:tc>
      </w:tr>
    </w:tbl>
    <w:p>
      <w:pPr>
        <w:spacing w:after="200"/>
      </w:pPr>
    </w:p>
    <w:p>
      <w:pPr>
        <w:pStyle w:val="Heading2"/>
        <w:spacing w:after="140" w:before="320"/>
      </w:pPr>
      <w:r>
        <w:rPr>
          <w:b/>
          <w:bCs/>
          <w:color w:val="1F4E5C"/>
          <w:sz w:val="25"/>
          <w:szCs w:val="25"/>
        </w:rPr>
        <w:t xml:space="preserve">13.2 Negative ionization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rPr>
          <w:tblHeader/>
        </w:trPr>
        <w:tc>
          <w:tcPr>
            <w:tcW w:type="dxa" w:w="5000"/>
            <w:shd w:fill="1F4E5C" w:color="1F4E5C" w:val="clear"/>
            <w:tcMar>
              <w:top w:type="dxa" w:w="100"/>
              <w:left w:type="dxa" w:w="120"/>
              <w:bottom w:type="dxa" w:w="100"/>
              <w:right w:type="dxa" w:w="120"/>
            </w:tcMar>
            <w:vAlign w:val="center"/>
          </w:tcPr>
          <w:p>
            <w:r>
              <w:rPr>
                <w:b/>
                <w:bCs/>
                <w:color w:val="FFFFFF"/>
                <w:sz w:val="20"/>
                <w:szCs w:val="20"/>
              </w:rPr>
              <w:t xml:space="preserve">Lipid class</w:t>
            </w:r>
          </w:p>
        </w:tc>
        <w:tc>
          <w:tcPr>
            <w:tcW w:type="dxa" w:w="4500"/>
            <w:shd w:fill="1F4E5C" w:color="1F4E5C" w:val="clear"/>
            <w:tcMar>
              <w:top w:type="dxa" w:w="100"/>
              <w:left w:type="dxa" w:w="120"/>
              <w:bottom w:type="dxa" w:w="100"/>
              <w:right w:type="dxa" w:w="120"/>
            </w:tcMar>
            <w:vAlign w:val="center"/>
          </w:tcPr>
          <w:p>
            <w:r>
              <w:rPr>
                <w:b/>
                <w:bCs/>
                <w:color w:val="FFFFFF"/>
                <w:sz w:val="20"/>
                <w:szCs w:val="20"/>
              </w:rPr>
              <w:t xml:space="preserve">MS/MS-supported annotations</w:t>
            </w:r>
          </w:p>
        </w:tc>
      </w:tr>
      <w:tr>
        <w:tc>
          <w:tcPr>
            <w:tcW w:type="dxa" w:w="5000"/>
            <w:tcMar>
              <w:top w:type="dxa" w:w="90"/>
              <w:left w:type="dxa" w:w="120"/>
              <w:bottom w:type="dxa" w:w="90"/>
              <w:right w:type="dxa" w:w="120"/>
            </w:tcMar>
            <w:vAlign w:val="center"/>
          </w:tcPr>
          <w:p>
            <w:r>
              <w:rPr>
                <w:sz w:val="20"/>
                <w:szCs w:val="20"/>
              </w:rPr>
              <w:t xml:space="preserve">SM</w:t>
            </w:r>
          </w:p>
        </w:tc>
        <w:tc>
          <w:tcPr>
            <w:tcW w:type="dxa" w:w="4500"/>
            <w:tcMar>
              <w:top w:type="dxa" w:w="90"/>
              <w:left w:type="dxa" w:w="120"/>
              <w:bottom w:type="dxa" w:w="90"/>
              <w:right w:type="dxa" w:w="120"/>
            </w:tcMar>
            <w:vAlign w:val="center"/>
          </w:tcPr>
          <w:p>
            <w:r>
              <w:rPr>
                <w:sz w:val="20"/>
                <w:szCs w:val="20"/>
              </w:rPr>
              <w:t xml:space="preserve">66</w:t>
            </w:r>
          </w:p>
        </w:tc>
      </w:tr>
      <w:tr>
        <w:tc>
          <w:tcPr>
            <w:tcW w:type="dxa" w:w="5000"/>
            <w:shd w:fill="F7F9F9" w:val="clear"/>
            <w:tcMar>
              <w:top w:type="dxa" w:w="90"/>
              <w:left w:type="dxa" w:w="120"/>
              <w:bottom w:type="dxa" w:w="90"/>
              <w:right w:type="dxa" w:w="120"/>
            </w:tcMar>
            <w:vAlign w:val="center"/>
          </w:tcPr>
          <w:p>
            <w:r>
              <w:rPr>
                <w:sz w:val="20"/>
                <w:szCs w:val="20"/>
              </w:rPr>
              <w:t xml:space="preserve">PC</w:t>
            </w:r>
          </w:p>
        </w:tc>
        <w:tc>
          <w:tcPr>
            <w:tcW w:type="dxa" w:w="4500"/>
            <w:shd w:fill="F7F9F9" w:val="clear"/>
            <w:tcMar>
              <w:top w:type="dxa" w:w="90"/>
              <w:left w:type="dxa" w:w="120"/>
              <w:bottom w:type="dxa" w:w="90"/>
              <w:right w:type="dxa" w:w="120"/>
            </w:tcMar>
            <w:vAlign w:val="center"/>
          </w:tcPr>
          <w:p>
            <w:r>
              <w:rPr>
                <w:sz w:val="20"/>
                <w:szCs w:val="20"/>
              </w:rPr>
              <w:t xml:space="preserve">66</w:t>
            </w:r>
          </w:p>
        </w:tc>
      </w:tr>
      <w:tr>
        <w:tc>
          <w:tcPr>
            <w:tcW w:type="dxa" w:w="5000"/>
            <w:tcMar>
              <w:top w:type="dxa" w:w="90"/>
              <w:left w:type="dxa" w:w="120"/>
              <w:bottom w:type="dxa" w:w="90"/>
              <w:right w:type="dxa" w:w="120"/>
            </w:tcMar>
            <w:vAlign w:val="center"/>
          </w:tcPr>
          <w:p>
            <w:r>
              <w:rPr>
                <w:sz w:val="20"/>
                <w:szCs w:val="20"/>
              </w:rPr>
              <w:t xml:space="preserve">EtherPC</w:t>
            </w:r>
          </w:p>
        </w:tc>
        <w:tc>
          <w:tcPr>
            <w:tcW w:type="dxa" w:w="4500"/>
            <w:tcMar>
              <w:top w:type="dxa" w:w="90"/>
              <w:left w:type="dxa" w:w="120"/>
              <w:bottom w:type="dxa" w:w="90"/>
              <w:right w:type="dxa" w:w="120"/>
            </w:tcMar>
            <w:vAlign w:val="center"/>
          </w:tcPr>
          <w:p>
            <w:r>
              <w:rPr>
                <w:sz w:val="20"/>
                <w:szCs w:val="20"/>
              </w:rPr>
              <w:t xml:space="preserve">34</w:t>
            </w:r>
          </w:p>
        </w:tc>
      </w:tr>
      <w:tr>
        <w:tc>
          <w:tcPr>
            <w:tcW w:type="dxa" w:w="5000"/>
            <w:shd w:fill="F7F9F9" w:val="clear"/>
            <w:tcMar>
              <w:top w:type="dxa" w:w="90"/>
              <w:left w:type="dxa" w:w="120"/>
              <w:bottom w:type="dxa" w:w="90"/>
              <w:right w:type="dxa" w:w="120"/>
            </w:tcMar>
            <w:vAlign w:val="center"/>
          </w:tcPr>
          <w:p>
            <w:r>
              <w:rPr>
                <w:sz w:val="20"/>
                <w:szCs w:val="20"/>
              </w:rPr>
              <w:t xml:space="preserve">PI</w:t>
            </w:r>
          </w:p>
        </w:tc>
        <w:tc>
          <w:tcPr>
            <w:tcW w:type="dxa" w:w="4500"/>
            <w:shd w:fill="F7F9F9" w:val="clear"/>
            <w:tcMar>
              <w:top w:type="dxa" w:w="90"/>
              <w:left w:type="dxa" w:w="120"/>
              <w:bottom w:type="dxa" w:w="90"/>
              <w:right w:type="dxa" w:w="120"/>
            </w:tcMar>
            <w:vAlign w:val="center"/>
          </w:tcPr>
          <w:p>
            <w:r>
              <w:rPr>
                <w:sz w:val="20"/>
                <w:szCs w:val="20"/>
              </w:rPr>
              <w:t xml:space="preserve">15</w:t>
            </w:r>
          </w:p>
        </w:tc>
      </w:tr>
      <w:tr>
        <w:tc>
          <w:tcPr>
            <w:tcW w:type="dxa" w:w="5000"/>
            <w:tcMar>
              <w:top w:type="dxa" w:w="90"/>
              <w:left w:type="dxa" w:w="120"/>
              <w:bottom w:type="dxa" w:w="90"/>
              <w:right w:type="dxa" w:w="120"/>
            </w:tcMar>
            <w:vAlign w:val="center"/>
          </w:tcPr>
          <w:p>
            <w:r>
              <w:rPr>
                <w:sz w:val="20"/>
                <w:szCs w:val="20"/>
              </w:rPr>
              <w:t xml:space="preserve">LPC</w:t>
            </w:r>
          </w:p>
        </w:tc>
        <w:tc>
          <w:tcPr>
            <w:tcW w:type="dxa" w:w="4500"/>
            <w:tcMar>
              <w:top w:type="dxa" w:w="90"/>
              <w:left w:type="dxa" w:w="120"/>
              <w:bottom w:type="dxa" w:w="90"/>
              <w:right w:type="dxa" w:w="120"/>
            </w:tcMar>
            <w:vAlign w:val="center"/>
          </w:tcPr>
          <w:p>
            <w:r>
              <w:rPr>
                <w:sz w:val="20"/>
                <w:szCs w:val="20"/>
              </w:rPr>
              <w:t xml:space="preserve">12</w:t>
            </w:r>
          </w:p>
        </w:tc>
      </w:tr>
      <w:tr>
        <w:tc>
          <w:tcPr>
            <w:tcW w:type="dxa" w:w="5000"/>
            <w:shd w:fill="F7F9F9" w:val="clear"/>
            <w:tcMar>
              <w:top w:type="dxa" w:w="90"/>
              <w:left w:type="dxa" w:w="120"/>
              <w:bottom w:type="dxa" w:w="90"/>
              <w:right w:type="dxa" w:w="120"/>
            </w:tcMar>
            <w:vAlign w:val="center"/>
          </w:tcPr>
          <w:p>
            <w:r>
              <w:rPr>
                <w:sz w:val="20"/>
                <w:szCs w:val="20"/>
              </w:rPr>
              <w:t xml:space="preserve">AcylGlcADG</w:t>
            </w:r>
          </w:p>
        </w:tc>
        <w:tc>
          <w:tcPr>
            <w:tcW w:type="dxa" w:w="4500"/>
            <w:shd w:fill="F7F9F9" w:val="clear"/>
            <w:tcMar>
              <w:top w:type="dxa" w:w="90"/>
              <w:left w:type="dxa" w:w="120"/>
              <w:bottom w:type="dxa" w:w="90"/>
              <w:right w:type="dxa" w:w="120"/>
            </w:tcMar>
            <w:vAlign w:val="center"/>
          </w:tcPr>
          <w:p>
            <w:r>
              <w:rPr>
                <w:sz w:val="20"/>
                <w:szCs w:val="20"/>
              </w:rPr>
              <w:t xml:space="preserve">10</w:t>
            </w:r>
          </w:p>
        </w:tc>
      </w:tr>
      <w:tr>
        <w:tc>
          <w:tcPr>
            <w:tcW w:type="dxa" w:w="5000"/>
            <w:tcMar>
              <w:top w:type="dxa" w:w="90"/>
              <w:left w:type="dxa" w:w="120"/>
              <w:bottom w:type="dxa" w:w="90"/>
              <w:right w:type="dxa" w:w="120"/>
            </w:tcMar>
            <w:vAlign w:val="center"/>
          </w:tcPr>
          <w:p>
            <w:r>
              <w:rPr>
                <w:sz w:val="20"/>
                <w:szCs w:val="20"/>
              </w:rPr>
              <w:t xml:space="preserve">GlcCer_NS</w:t>
            </w:r>
          </w:p>
        </w:tc>
        <w:tc>
          <w:tcPr>
            <w:tcW w:type="dxa" w:w="4500"/>
            <w:tcMar>
              <w:top w:type="dxa" w:w="90"/>
              <w:left w:type="dxa" w:w="120"/>
              <w:bottom w:type="dxa" w:w="90"/>
              <w:right w:type="dxa" w:w="120"/>
            </w:tcMar>
            <w:vAlign w:val="center"/>
          </w:tcPr>
          <w:p>
            <w:r>
              <w:rPr>
                <w:sz w:val="20"/>
                <w:szCs w:val="20"/>
              </w:rPr>
              <w:t xml:space="preserve">10</w:t>
            </w:r>
          </w:p>
        </w:tc>
      </w:tr>
      <w:tr>
        <w:tc>
          <w:tcPr>
            <w:tcW w:type="dxa" w:w="5000"/>
            <w:shd w:fill="F7F9F9" w:val="clear"/>
            <w:tcMar>
              <w:top w:type="dxa" w:w="90"/>
              <w:left w:type="dxa" w:w="120"/>
              <w:bottom w:type="dxa" w:w="90"/>
              <w:right w:type="dxa" w:w="120"/>
            </w:tcMar>
            <w:vAlign w:val="center"/>
          </w:tcPr>
          <w:p>
            <w:r>
              <w:rPr>
                <w:sz w:val="20"/>
                <w:szCs w:val="20"/>
              </w:rPr>
              <w:t xml:space="preserve">GM3</w:t>
            </w:r>
          </w:p>
        </w:tc>
        <w:tc>
          <w:tcPr>
            <w:tcW w:type="dxa" w:w="4500"/>
            <w:shd w:fill="F7F9F9" w:val="clear"/>
            <w:tcMar>
              <w:top w:type="dxa" w:w="90"/>
              <w:left w:type="dxa" w:w="120"/>
              <w:bottom w:type="dxa" w:w="90"/>
              <w:right w:type="dxa" w:w="120"/>
            </w:tcMar>
            <w:vAlign w:val="center"/>
          </w:tcPr>
          <w:p>
            <w:r>
              <w:rPr>
                <w:sz w:val="20"/>
                <w:szCs w:val="20"/>
              </w:rPr>
              <w:t xml:space="preserve">9</w:t>
            </w:r>
          </w:p>
        </w:tc>
      </w:tr>
      <w:tr>
        <w:tc>
          <w:tcPr>
            <w:tcW w:type="dxa" w:w="5000"/>
            <w:tcMar>
              <w:top w:type="dxa" w:w="90"/>
              <w:left w:type="dxa" w:w="120"/>
              <w:bottom w:type="dxa" w:w="90"/>
              <w:right w:type="dxa" w:w="120"/>
            </w:tcMar>
            <w:vAlign w:val="center"/>
          </w:tcPr>
          <w:p>
            <w:r>
              <w:rPr>
                <w:sz w:val="20"/>
                <w:szCs w:val="20"/>
              </w:rPr>
              <w:t xml:space="preserve">EtherPE</w:t>
            </w:r>
          </w:p>
        </w:tc>
        <w:tc>
          <w:tcPr>
            <w:tcW w:type="dxa" w:w="4500"/>
            <w:tcMar>
              <w:top w:type="dxa" w:w="90"/>
              <w:left w:type="dxa" w:w="120"/>
              <w:bottom w:type="dxa" w:w="90"/>
              <w:right w:type="dxa" w:w="120"/>
            </w:tcMar>
            <w:vAlign w:val="center"/>
          </w:tcPr>
          <w:p>
            <w:r>
              <w:rPr>
                <w:sz w:val="20"/>
                <w:szCs w:val="20"/>
              </w:rPr>
              <w:t xml:space="preserve">7</w:t>
            </w:r>
          </w:p>
        </w:tc>
      </w:tr>
      <w:tr>
        <w:tc>
          <w:tcPr>
            <w:tcW w:type="dxa" w:w="5000"/>
            <w:shd w:fill="F7F9F9" w:val="clear"/>
            <w:tcMar>
              <w:top w:type="dxa" w:w="90"/>
              <w:left w:type="dxa" w:w="120"/>
              <w:bottom w:type="dxa" w:w="90"/>
              <w:right w:type="dxa" w:w="120"/>
            </w:tcMar>
            <w:vAlign w:val="center"/>
          </w:tcPr>
          <w:p>
            <w:r>
              <w:rPr>
                <w:sz w:val="20"/>
                <w:szCs w:val="20"/>
              </w:rPr>
              <w:t xml:space="preserve">LPE</w:t>
            </w:r>
          </w:p>
        </w:tc>
        <w:tc>
          <w:tcPr>
            <w:tcW w:type="dxa" w:w="4500"/>
            <w:shd w:fill="F7F9F9" w:val="clear"/>
            <w:tcMar>
              <w:top w:type="dxa" w:w="90"/>
              <w:left w:type="dxa" w:w="120"/>
              <w:bottom w:type="dxa" w:w="90"/>
              <w:right w:type="dxa" w:w="120"/>
            </w:tcMar>
            <w:vAlign w:val="center"/>
          </w:tcPr>
          <w:p>
            <w:r>
              <w:rPr>
                <w:sz w:val="20"/>
                <w:szCs w:val="20"/>
              </w:rPr>
              <w:t xml:space="preserve">6</w:t>
            </w:r>
          </w:p>
        </w:tc>
      </w:tr>
      <w:tr>
        <w:tc>
          <w:tcPr>
            <w:tcW w:type="dxa" w:w="5000"/>
            <w:tcMar>
              <w:top w:type="dxa" w:w="90"/>
              <w:left w:type="dxa" w:w="120"/>
              <w:bottom w:type="dxa" w:w="90"/>
              <w:right w:type="dxa" w:w="120"/>
            </w:tcMar>
            <w:vAlign w:val="center"/>
          </w:tcPr>
          <w:p>
            <w:r>
              <w:rPr>
                <w:sz w:val="20"/>
                <w:szCs w:val="20"/>
              </w:rPr>
              <w:t xml:space="preserve">GlcCer_AP</w:t>
            </w:r>
          </w:p>
        </w:tc>
        <w:tc>
          <w:tcPr>
            <w:tcW w:type="dxa" w:w="4500"/>
            <w:tcMar>
              <w:top w:type="dxa" w:w="90"/>
              <w:left w:type="dxa" w:w="120"/>
              <w:bottom w:type="dxa" w:w="90"/>
              <w:right w:type="dxa" w:w="120"/>
            </w:tcMar>
            <w:vAlign w:val="center"/>
          </w:tcPr>
          <w:p>
            <w:r>
              <w:rPr>
                <w:sz w:val="20"/>
                <w:szCs w:val="20"/>
              </w:rPr>
              <w:t xml:space="preserve">4</w:t>
            </w:r>
          </w:p>
        </w:tc>
      </w:tr>
      <w:tr>
        <w:tc>
          <w:tcPr>
            <w:tcW w:type="dxa" w:w="5000"/>
            <w:shd w:fill="F7F9F9" w:val="clear"/>
            <w:tcMar>
              <w:top w:type="dxa" w:w="90"/>
              <w:left w:type="dxa" w:w="120"/>
              <w:bottom w:type="dxa" w:w="90"/>
              <w:right w:type="dxa" w:w="120"/>
            </w:tcMar>
            <w:vAlign w:val="center"/>
          </w:tcPr>
          <w:p>
            <w:r>
              <w:rPr>
                <w:sz w:val="20"/>
                <w:szCs w:val="20"/>
              </w:rPr>
              <w:t xml:space="preserve">PE</w:t>
            </w:r>
          </w:p>
        </w:tc>
        <w:tc>
          <w:tcPr>
            <w:tcW w:type="dxa" w:w="4500"/>
            <w:shd w:fill="F7F9F9" w:val="clear"/>
            <w:tcMar>
              <w:top w:type="dxa" w:w="90"/>
              <w:left w:type="dxa" w:w="120"/>
              <w:bottom w:type="dxa" w:w="90"/>
              <w:right w:type="dxa" w:w="120"/>
            </w:tcMar>
            <w:vAlign w:val="center"/>
          </w:tcPr>
          <w:p>
            <w:r>
              <w:rPr>
                <w:sz w:val="20"/>
                <w:szCs w:val="20"/>
              </w:rPr>
              <w:t xml:space="preserve">3</w:t>
            </w:r>
          </w:p>
        </w:tc>
      </w:tr>
      <w:tr>
        <w:tc>
          <w:tcPr>
            <w:tcW w:type="dxa" w:w="5000"/>
            <w:tcMar>
              <w:top w:type="dxa" w:w="90"/>
              <w:left w:type="dxa" w:w="120"/>
              <w:bottom w:type="dxa" w:w="90"/>
              <w:right w:type="dxa" w:w="120"/>
            </w:tcMar>
            <w:vAlign w:val="center"/>
          </w:tcPr>
          <w:p>
            <w:r>
              <w:rPr>
                <w:sz w:val="20"/>
                <w:szCs w:val="20"/>
              </w:rPr>
              <w:t xml:space="preserve">LPI</w:t>
            </w:r>
          </w:p>
        </w:tc>
        <w:tc>
          <w:tcPr>
            <w:tcW w:type="dxa" w:w="4500"/>
            <w:tcMar>
              <w:top w:type="dxa" w:w="90"/>
              <w:left w:type="dxa" w:w="120"/>
              <w:bottom w:type="dxa" w:w="90"/>
              <w:right w:type="dxa" w:w="120"/>
            </w:tcMar>
            <w:vAlign w:val="center"/>
          </w:tcPr>
          <w:p>
            <w:r>
              <w:rPr>
                <w:sz w:val="20"/>
                <w:szCs w:val="20"/>
              </w:rPr>
              <w:t xml:space="preserve">2</w:t>
            </w:r>
          </w:p>
        </w:tc>
      </w:tr>
      <w:tr>
        <w:tc>
          <w:tcPr>
            <w:tcW w:type="dxa" w:w="5000"/>
            <w:shd w:fill="F7F9F9" w:val="clear"/>
            <w:tcMar>
              <w:top w:type="dxa" w:w="90"/>
              <w:left w:type="dxa" w:w="120"/>
              <w:bottom w:type="dxa" w:w="90"/>
              <w:right w:type="dxa" w:w="120"/>
            </w:tcMar>
            <w:vAlign w:val="center"/>
          </w:tcPr>
          <w:p>
            <w:r>
              <w:rPr>
                <w:sz w:val="20"/>
                <w:szCs w:val="20"/>
              </w:rPr>
              <w:t xml:space="preserve">Cer_NP</w:t>
            </w:r>
          </w:p>
        </w:tc>
        <w:tc>
          <w:tcPr>
            <w:tcW w:type="dxa" w:w="4500"/>
            <w:shd w:fill="F7F9F9" w:val="clear"/>
            <w:tcMar>
              <w:top w:type="dxa" w:w="90"/>
              <w:left w:type="dxa" w:w="120"/>
              <w:bottom w:type="dxa" w:w="90"/>
              <w:right w:type="dxa" w:w="120"/>
            </w:tcMar>
            <w:vAlign w:val="center"/>
          </w:tcPr>
          <w:p>
            <w:r>
              <w:rPr>
                <w:sz w:val="20"/>
                <w:szCs w:val="20"/>
              </w:rPr>
              <w:t xml:space="preserve">2</w:t>
            </w:r>
          </w:p>
        </w:tc>
      </w:tr>
      <w:tr>
        <w:tc>
          <w:tcPr>
            <w:tcW w:type="dxa" w:w="5000"/>
            <w:tcMar>
              <w:top w:type="dxa" w:w="90"/>
              <w:left w:type="dxa" w:w="120"/>
              <w:bottom w:type="dxa" w:w="90"/>
              <w:right w:type="dxa" w:w="120"/>
            </w:tcMar>
            <w:vAlign w:val="center"/>
          </w:tcPr>
          <w:p>
            <w:r>
              <w:rPr>
                <w:sz w:val="20"/>
                <w:szCs w:val="20"/>
              </w:rPr>
              <w:t xml:space="preserve">FA</w:t>
            </w:r>
          </w:p>
        </w:tc>
        <w:tc>
          <w:tcPr>
            <w:tcW w:type="dxa" w:w="4500"/>
            <w:tcMar>
              <w:top w:type="dxa" w:w="90"/>
              <w:left w:type="dxa" w:w="120"/>
              <w:bottom w:type="dxa" w:w="90"/>
              <w:right w:type="dxa" w:w="120"/>
            </w:tcMar>
            <w:vAlign w:val="center"/>
          </w:tcPr>
          <w:p>
            <w:r>
              <w:rPr>
                <w:sz w:val="20"/>
                <w:szCs w:val="20"/>
              </w:rPr>
              <w:t xml:space="preserve">1</w:t>
            </w:r>
          </w:p>
        </w:tc>
      </w:tr>
      <w:tr>
        <w:tc>
          <w:tcPr>
            <w:tcW w:type="dxa" w:w="5000"/>
            <w:shd w:fill="F7F9F9" w:val="clear"/>
            <w:tcMar>
              <w:top w:type="dxa" w:w="90"/>
              <w:left w:type="dxa" w:w="120"/>
              <w:bottom w:type="dxa" w:w="90"/>
              <w:right w:type="dxa" w:w="120"/>
            </w:tcMar>
            <w:vAlign w:val="center"/>
          </w:tcPr>
          <w:p>
            <w:r>
              <w:rPr>
                <w:sz w:val="20"/>
                <w:szCs w:val="20"/>
              </w:rPr>
              <w:t xml:space="preserve">Cer_AS</w:t>
            </w:r>
          </w:p>
        </w:tc>
        <w:tc>
          <w:tcPr>
            <w:tcW w:type="dxa" w:w="4500"/>
            <w:shd w:fill="F7F9F9" w:val="clear"/>
            <w:tcMar>
              <w:top w:type="dxa" w:w="90"/>
              <w:left w:type="dxa" w:w="120"/>
              <w:bottom w:type="dxa" w:w="90"/>
              <w:right w:type="dxa" w:w="120"/>
            </w:tcMar>
            <w:vAlign w:val="center"/>
          </w:tcPr>
          <w:p>
            <w:r>
              <w:rPr>
                <w:sz w:val="20"/>
                <w:szCs w:val="20"/>
              </w:rPr>
              <w:t xml:space="preserve">1</w:t>
            </w:r>
          </w:p>
        </w:tc>
      </w:tr>
    </w:tbl>
    <w:p>
      <w:pPr>
        <w:spacing w:after="160"/>
      </w:pPr>
    </w:p>
    <w:p>
      <w:pPr>
        <w:spacing w:after="160" w:line="288"/>
      </w:pPr>
      <w:r>
        <w:rPr>
          <w:sz w:val="22"/>
          <w:szCs w:val="22"/>
        </w:rPr>
        <w:t xml:space="preserve">These counts represent MS/MS-supported annotation records, not necessarily unique molecular species. They should therefore be used as a workflow summary rather than as a quantitative biological abundance result.</w:t>
      </w:r>
    </w:p>
    <w:p>
      <w:pPr>
        <w:pStyle w:val="Heading1"/>
        <w:pBdr>
          <w:bottom w:val="single" w:color="1F4E5C" w:sz="8" w:space="4"/>
        </w:pBdr>
        <w:spacing w:after="200" w:before="480"/>
      </w:pPr>
      <w:r>
        <w:rPr>
          <w:b/>
          <w:bCs/>
          <w:color w:val="1F4E5C"/>
          <w:sz w:val="30"/>
          <w:szCs w:val="30"/>
        </w:rPr>
        <w:t xml:space="preserve">14. Annotation Evidence and Interpretation</w:t>
      </w:r>
    </w:p>
    <w:p>
      <w:pPr>
        <w:spacing w:after="160" w:line="288"/>
      </w:pPr>
      <w:r>
        <w:rPr>
          <w:sz w:val="22"/>
          <w:szCs w:val="22"/>
        </w:rPr>
        <w:t xml:space="preserve">The annotation table retains the evidence fields available from the MS-DIAL .mdpeak output, including lipid name, retention time, precursor m/z, height, area, adduct, formula, ontology, InChIKey, annotation tag, matching flags, dot-product scores, matched peak count/percentage, total score, and signal-to-noise ratio.</w:t>
      </w:r>
    </w:p>
    <w:p>
      <w:pPr>
        <w:spacing w:after="160" w:line="288"/>
      </w:pPr>
      <w:r>
        <w:rPr>
          <w:b/>
          <w:bCs/>
          <w:sz w:val="22"/>
          <w:szCs w:val="22"/>
        </w:rPr>
        <w:t xml:space="preserve">Reporting level: </w:t>
      </w:r>
      <w:r>
        <w:rPr>
          <w:sz w:val="22"/>
          <w:szCs w:val="22"/>
        </w:rPr>
        <w:t xml:space="preserve">Annotations are reported as putative MS/MS-supported lipid annotations.</w:t>
      </w:r>
    </w:p>
    <w:p>
      <w:pPr>
        <w:spacing w:after="160" w:line="288"/>
      </w:pPr>
      <w:r>
        <w:rPr>
          <w:b/>
          <w:bCs/>
          <w:sz w:val="22"/>
          <w:szCs w:val="22"/>
        </w:rPr>
        <w:t xml:space="preserve">Biological interpretation: </w:t>
      </w:r>
      <w:r>
        <w:rPr>
          <w:sz w:val="22"/>
          <w:szCs w:val="22"/>
        </w:rPr>
        <w:t xml:space="preserve">No case/control comparison, p-value analysis, FDR analysis, or pathway-enrichment conclusion is part of this validation workflow.</w:t>
      </w:r>
    </w:p>
    <w:p>
      <w:pPr>
        <w:pStyle w:val="Heading1"/>
        <w:pBdr>
          <w:bottom w:val="single" w:color="1F4E5C" w:sz="8" w:space="4"/>
        </w:pBdr>
        <w:spacing w:after="200" w:before="480"/>
      </w:pPr>
      <w:r>
        <w:rPr>
          <w:b/>
          <w:bCs/>
          <w:color w:val="1F4E5C"/>
          <w:sz w:val="30"/>
          <w:szCs w:val="30"/>
        </w:rPr>
        <w:t xml:space="preserve">15. Reproducibility and Repository Structure</w:t>
      </w:r>
    </w:p>
    <w:p>
      <w:pPr>
        <w:spacing w:after="160" w:line="288"/>
      </w:pPr>
      <w:r>
        <w:rPr>
          <w:sz w:val="22"/>
          <w:szCs w:val="22"/>
        </w:rPr>
        <w:t xml:space="preserve">The organized project contains:</w:t>
      </w:r>
    </w:p>
    <w:p>
      <w:pPr>
        <w:pBdr>
          <w:top w:val="single" w:color="CBD5D9" w:sz="4" w:space="6"/>
          <w:left w:val="single" w:color="CBD5D9" w:sz="4" w:space="6"/>
          <w:right w:val="single" w:color="CBD5D9" w:sz="4" w:space="6"/>
        </w:pBdr>
        <w:shd w:fill="F4F4F4" w:val="clear"/>
        <w:spacing w:after="0" w:before="120"/>
      </w:pPr>
      <w:r>
        <w:t xml:space="preserve"> </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project/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data/</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mzml_pos/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mzml_neg/</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README.md</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docs/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MSDIAL_Console_Lipidomics_Workflow_VZ0000099.md</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libraries/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README.md</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parameters/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msdial5_lipidomics_POS_MSP.txt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msdial5_lipidomics_NEG_MSP.txt</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results/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MSDIAL_MSMS_annotations.tsv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MSDIAL_sample_summary.tsv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VZ0000099_PL_Neg_lipid_classes.tsv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VZ0000099_PL_Pos_lipid_classes.tsv</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scripts/</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 summarize_msdial.py</w:t>
      </w:r>
    </w:p>
    <w:p>
      <w:pPr>
        <w:pBdr>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.gitignore</w:t>
      </w:r>
    </w:p>
    <w:p>
      <w:pPr>
        <w:pBdr>
          <w:bottom w:val="single" w:color="CBD5D9" w:sz="4" w:space="6"/>
          <w:left w:val="single" w:color="CBD5D9" w:sz="4" w:space="6"/>
          <w:right w:val="single" w:color="CBD5D9" w:sz="4" w:space="6"/>
        </w:pBdr>
        <w:shd w:fill="F4F4F4" w:val="clear"/>
        <w:spacing w:after="0" w:before="0"/>
        <w:jc w:val="center"/>
      </w:pPr>
      <w:r>
        <w:rPr>
          <w:rFonts w:ascii="Consolas" w:cs="Consolas" w:eastAsia="Consolas" w:hAnsi="Consolas"/>
          <w:sz w:val="18"/>
          <w:szCs w:val="18"/>
        </w:rPr>
        <w:t xml:space="preserve">+-- README.md</w:t>
      </w:r>
    </w:p>
    <w:p>
      <w:pPr>
        <w:spacing w:after="240"/>
      </w:pPr>
      <w:r>
        <w:t xml:space="preserve"/>
      </w:r>
    </w:p>
    <w:p>
      <w:pPr>
        <w:spacing w:after="160" w:line="288"/>
      </w:pPr>
      <w:r>
        <w:rPr>
          <w:sz w:val="22"/>
          <w:szCs w:val="22"/>
        </w:rPr>
        <w:t xml:space="preserve">Large raw data, mzML files, spectral libraries, and generated MS-DIAL files are excluded from the repository. The parameter files and post-processing script are retained so that the workflow can be reproduced and later automated.</w:t>
      </w:r>
    </w:p>
    <w:p>
      <w:pPr>
        <w:pStyle w:val="Heading1"/>
        <w:pBdr>
          <w:bottom w:val="single" w:color="1F4E5C" w:sz="8" w:space="4"/>
        </w:pBdr>
        <w:spacing w:after="200" w:before="480"/>
      </w:pPr>
      <w:r>
        <w:rPr>
          <w:b/>
          <w:bCs/>
          <w:color w:val="1F4E5C"/>
          <w:sz w:val="30"/>
          <w:szCs w:val="30"/>
        </w:rPr>
        <w:t xml:space="preserve">16. Troubleshooting Record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5C" w:color="1F4E5C" w:val="clear"/>
            <w:tcMar>
              <w:top w:type="dxa" w:w="100"/>
              <w:left w:type="dxa" w:w="120"/>
              <w:bottom w:type="dxa" w:w="100"/>
              <w:right w:type="dxa" w:w="120"/>
            </w:tcMar>
            <w:vAlign w:val="center"/>
          </w:tcPr>
          <w:p>
            <w:r>
              <w:rPr>
                <w:b/>
                <w:bCs/>
                <w:color w:val="FFFFFF"/>
                <w:sz w:val="20"/>
                <w:szCs w:val="20"/>
              </w:rPr>
              <w:t xml:space="preserve">Issue / observation</w:t>
            </w:r>
          </w:p>
        </w:tc>
        <w:tc>
          <w:tcPr>
            <w:tcW w:type="dxa" w:w="5700"/>
            <w:shd w:fill="1F4E5C" w:color="1F4E5C" w:val="clear"/>
            <w:tcMar>
              <w:top w:type="dxa" w:w="100"/>
              <w:left w:type="dxa" w:w="120"/>
              <w:bottom w:type="dxa" w:w="100"/>
              <w:right w:type="dxa" w:w="120"/>
            </w:tcMar>
            <w:vAlign w:val="center"/>
          </w:tcPr>
          <w:p>
            <w:r>
              <w:rPr>
                <w:b/>
                <w:bCs/>
                <w:color w:val="FFFFFF"/>
                <w:sz w:val="20"/>
                <w:szCs w:val="20"/>
              </w:rPr>
              <w:t xml:space="preserve">Action or resolution</w:t>
            </w:r>
          </w:p>
        </w:tc>
      </w:tr>
      <w:tr>
        <w:tc>
          <w:tcPr>
            <w:tcW w:type="dxa" w:w="3800"/>
            <w:tcMar>
              <w:top w:type="dxa" w:w="90"/>
              <w:left w:type="dxa" w:w="120"/>
              <w:bottom w:type="dxa" w:w="90"/>
              <w:right w:type="dxa" w:w="120"/>
            </w:tcMar>
            <w:vAlign w:val="center"/>
          </w:tcPr>
          <w:p>
            <w:r>
              <w:rPr>
                <w:sz w:val="20"/>
                <w:szCs w:val="20"/>
              </w:rPr>
              <w:t xml:space="preserve">Console executable required execution permission</w:t>
            </w:r>
          </w:p>
        </w:tc>
        <w:tc>
          <w:tcPr>
            <w:tcW w:type="dxa" w:w="5700"/>
            <w:tcMar>
              <w:top w:type="dxa" w:w="90"/>
              <w:left w:type="dxa" w:w="120"/>
              <w:bottom w:type="dxa" w:w="90"/>
              <w:right w:type="dxa" w:w="120"/>
            </w:tcMar>
            <w:vAlign w:val="center"/>
          </w:tcPr>
          <w:p>
            <w:r>
              <w:rPr>
                <w:sz w:val="20"/>
                <w:szCs w:val="20"/>
              </w:rPr>
              <w:t xml:space="preserve">Used chmod +x MSDIALCUI.</w:t>
            </w:r>
          </w:p>
        </w:tc>
      </w:tr>
      <w:tr>
        <w:tc>
          <w:tcPr>
            <w:tcW w:type="dxa" w:w="3800"/>
            <w:shd w:fill="F7F9F9" w:val="clear"/>
            <w:tcMar>
              <w:top w:type="dxa" w:w="90"/>
              <w:left w:type="dxa" w:w="120"/>
              <w:bottom w:type="dxa" w:w="90"/>
              <w:right w:type="dxa" w:w="120"/>
            </w:tcMar>
            <w:vAlign w:val="center"/>
          </w:tcPr>
          <w:p>
            <w:r>
              <w:rPr>
                <w:sz w:val="20"/>
                <w:szCs w:val="20"/>
              </w:rPr>
              <w:t xml:space="preserve">Initial lcmsdda command was attempted</w:t>
            </w:r>
          </w:p>
        </w:tc>
        <w:tc>
          <w:tcPr>
            <w:tcW w:type="dxa" w:w="5700"/>
            <w:shd w:fill="F7F9F9" w:val="clear"/>
            <w:tcMar>
              <w:top w:type="dxa" w:w="90"/>
              <w:left w:type="dxa" w:w="120"/>
              <w:bottom w:type="dxa" w:w="90"/>
              <w:right w:type="dxa" w:w="120"/>
            </w:tcMar>
            <w:vAlign w:val="center"/>
          </w:tcPr>
          <w:p>
            <w:r>
              <w:rPr>
                <w:sz w:val="20"/>
                <w:szCs w:val="20"/>
              </w:rPr>
              <w:t xml:space="preserve">The installed --help output showed supported analysis types as gcms and lcms; final command used lcms.</w:t>
            </w:r>
          </w:p>
        </w:tc>
      </w:tr>
      <w:tr>
        <w:tc>
          <w:tcPr>
            <w:tcW w:type="dxa" w:w="3800"/>
            <w:tcMar>
              <w:top w:type="dxa" w:w="90"/>
              <w:left w:type="dxa" w:w="120"/>
              <w:bottom w:type="dxa" w:w="90"/>
              <w:right w:type="dxa" w:w="120"/>
            </w:tcMar>
            <w:vAlign w:val="center"/>
          </w:tcPr>
          <w:p>
            <w:r>
              <w:rPr>
                <w:sz w:val="20"/>
                <w:szCs w:val="20"/>
              </w:rPr>
              <w:t xml:space="preserve">Need to verify mzML structure</w:t>
            </w:r>
          </w:p>
        </w:tc>
        <w:tc>
          <w:tcPr>
            <w:tcW w:type="dxa" w:w="5700"/>
            <w:tcMar>
              <w:top w:type="dxa" w:w="90"/>
              <w:left w:type="dxa" w:w="120"/>
              <w:bottom w:type="dxa" w:w="90"/>
              <w:right w:type="dxa" w:w="120"/>
            </w:tcMar>
            <w:vAlign w:val="center"/>
          </w:tcPr>
          <w:p>
            <w:r>
              <w:rPr>
                <w:sz w:val="20"/>
                <w:szCs w:val="20"/>
              </w:rPr>
              <w:t xml:space="preserve">Used grep checks for spectrum count, MS level, centroid/profile descriptors, and scan counts.</w:t>
            </w:r>
          </w:p>
        </w:tc>
      </w:tr>
      <w:tr>
        <w:tc>
          <w:tcPr>
            <w:tcW w:type="dxa" w:w="3800"/>
            <w:shd w:fill="F7F9F9" w:val="clear"/>
            <w:tcMar>
              <w:top w:type="dxa" w:w="90"/>
              <w:left w:type="dxa" w:w="120"/>
              <w:bottom w:type="dxa" w:w="90"/>
              <w:right w:type="dxa" w:w="120"/>
            </w:tcMar>
            <w:vAlign w:val="center"/>
          </w:tcPr>
          <w:p>
            <w:r>
              <w:rPr>
                <w:sz w:val="20"/>
                <w:szCs w:val="20"/>
              </w:rPr>
              <w:t xml:space="preserve">LBM2 library loading produced MessagePack format error</w:t>
            </w:r>
          </w:p>
        </w:tc>
        <w:tc>
          <w:tcPr>
            <w:tcW w:type="dxa" w:w="5700"/>
            <w:shd w:fill="F7F9F9" w:val="clear"/>
            <w:tcMar>
              <w:top w:type="dxa" w:w="90"/>
              <w:left w:type="dxa" w:w="120"/>
              <w:bottom w:type="dxa" w:w="90"/>
              <w:right w:type="dxa" w:w="120"/>
            </w:tcMar>
            <w:vAlign w:val="center"/>
          </w:tcPr>
          <w:p>
            <w:r>
              <w:rPr>
                <w:sz w:val="20"/>
                <w:szCs w:val="20"/>
              </w:rPr>
              <w:t xml:space="preserve">LBM2 route was not used in the final validated workflow; MSP libraries were used instead.</w:t>
            </w:r>
          </w:p>
        </w:tc>
      </w:tr>
      <w:tr>
        <w:tc>
          <w:tcPr>
            <w:tcW w:type="dxa" w:w="3800"/>
            <w:tcMar>
              <w:top w:type="dxa" w:w="90"/>
              <w:left w:type="dxa" w:w="120"/>
              <w:bottom w:type="dxa" w:w="90"/>
              <w:right w:type="dxa" w:w="120"/>
            </w:tcMar>
            <w:vAlign w:val="center"/>
          </w:tcPr>
          <w:p>
            <w:r>
              <w:rPr>
                <w:sz w:val="20"/>
                <w:szCs w:val="20"/>
              </w:rPr>
              <w:t xml:space="preserve">Need reproducible result summaries</w:t>
            </w:r>
          </w:p>
        </w:tc>
        <w:tc>
          <w:tcPr>
            <w:tcW w:type="dxa" w:w="5700"/>
            <w:tcMar>
              <w:top w:type="dxa" w:w="90"/>
              <w:left w:type="dxa" w:w="120"/>
              <w:bottom w:type="dxa" w:w="90"/>
              <w:right w:type="dxa" w:w="120"/>
            </w:tcMar>
            <w:vAlign w:val="center"/>
          </w:tcPr>
          <w:p>
            <w:r>
              <w:rPr>
                <w:sz w:val="20"/>
                <w:szCs w:val="20"/>
              </w:rPr>
              <w:t xml:space="preserve">Created summarize_msdial.py to extract matching statistics, annotations, and lipid-class counts from .mdpeak files.</w:t>
            </w:r>
          </w:p>
        </w:tc>
      </w:tr>
    </w:tbl>
    <w:p>
      <w:pPr>
        <w:pStyle w:val="Heading1"/>
        <w:pBdr>
          <w:bottom w:val="single" w:color="1F4E5C" w:sz="8" w:space="4"/>
        </w:pBdr>
        <w:spacing w:after="200" w:before="480"/>
      </w:pPr>
      <w:r>
        <w:rPr>
          <w:b/>
          <w:bCs/>
          <w:color w:val="1F4E5C"/>
          <w:sz w:val="30"/>
          <w:szCs w:val="30"/>
        </w:rPr>
        <w:t xml:space="preserve">17. Final Reproducible Workflow</w:t>
      </w:r>
    </w:p>
    <w:p>
      <w:pPr>
        <w:spacing w:after="160" w:line="288"/>
      </w:pPr>
      <w:r>
        <w:rPr>
          <w:sz w:val="22"/>
          <w:szCs w:val="22"/>
        </w:rPr>
        <w:t xml:space="preserve">For a new sample, the intended reproducible sequence is:</w:t>
      </w:r>
    </w:p>
    <w:p>
      <w:pPr>
        <w:pStyle w:val="ListParagraph"/>
        <w:numPr>
          <w:ilvl w:val="0"/>
          <w:numId w:val="2"/>
        </w:numPr>
        <w:spacing w:after="90"/>
      </w:pPr>
      <w:r>
        <w:rPr>
          <w:sz w:val="22"/>
          <w:szCs w:val="22"/>
        </w:rPr>
        <w:t xml:space="preserve">Convert Thermo RAW to mzML containing the required MS1–MS2 data.</w:t>
      </w:r>
    </w:p>
    <w:p>
      <w:pPr>
        <w:pStyle w:val="ListParagraph"/>
        <w:numPr>
          <w:ilvl w:val="0"/>
          <w:numId w:val="2"/>
        </w:numPr>
        <w:spacing w:after="90"/>
      </w:pPr>
      <w:r>
        <w:rPr>
          <w:sz w:val="22"/>
          <w:szCs w:val="22"/>
        </w:rPr>
        <w:t xml:space="preserve">Place positive and negative mzML files in separate input directories.</w:t>
      </w:r>
    </w:p>
    <w:p>
      <w:pPr>
        <w:pStyle w:val="ListParagraph"/>
        <w:numPr>
          <w:ilvl w:val="0"/>
          <w:numId w:val="2"/>
        </w:numPr>
        <w:spacing w:after="90"/>
      </w:pPr>
      <w:r>
        <w:rPr>
          <w:sz w:val="22"/>
          <w:szCs w:val="22"/>
        </w:rPr>
        <w:t xml:space="preserve">Confirm the MS-DIAL Console executable and version with ./MSDIALCUI --help.</w:t>
      </w:r>
    </w:p>
    <w:p>
      <w:pPr>
        <w:pStyle w:val="ListParagraph"/>
        <w:numPr>
          <w:ilvl w:val="0"/>
          <w:numId w:val="2"/>
        </w:numPr>
        <w:spacing w:after="90"/>
      </w:pPr>
      <w:r>
        <w:rPr>
          <w:sz w:val="22"/>
          <w:szCs w:val="22"/>
        </w:rPr>
        <w:t xml:space="preserve">Confirm that the polarity-specific MSP library is available.</w:t>
      </w:r>
    </w:p>
    <w:p>
      <w:pPr>
        <w:pStyle w:val="ListParagraph"/>
        <w:numPr>
          <w:ilvl w:val="0"/>
          <w:numId w:val="2"/>
        </w:numPr>
        <w:spacing w:after="90"/>
      </w:pPr>
      <w:r>
        <w:rPr>
          <w:sz w:val="22"/>
          <w:szCs w:val="22"/>
        </w:rPr>
        <w:t xml:space="preserve">Use the polarity-specific MS-DIAL method file.</w:t>
      </w:r>
    </w:p>
    <w:p>
      <w:pPr>
        <w:pStyle w:val="ListParagraph"/>
        <w:numPr>
          <w:ilvl w:val="0"/>
          <w:numId w:val="2"/>
        </w:numPr>
        <w:spacing w:after="90"/>
      </w:pPr>
      <w:r>
        <w:rPr>
          <w:sz w:val="22"/>
          <w:szCs w:val="22"/>
        </w:rPr>
        <w:t xml:space="preserve">Run positive and negative modes separately with the MS-DIAL lcms console command.</w:t>
      </w:r>
    </w:p>
    <w:p>
      <w:pPr>
        <w:pStyle w:val="ListParagraph"/>
        <w:numPr>
          <w:ilvl w:val="0"/>
          <w:numId w:val="2"/>
        </w:numPr>
        <w:spacing w:after="90"/>
      </w:pPr>
      <w:r>
        <w:rPr>
          <w:sz w:val="22"/>
          <w:szCs w:val="22"/>
        </w:rPr>
        <w:t xml:space="preserve">Inspect the resulting .mdpeak/.mdmsp/.mdproject outputs.</w:t>
      </w:r>
    </w:p>
    <w:p>
      <w:pPr>
        <w:pStyle w:val="ListParagraph"/>
        <w:numPr>
          <w:ilvl w:val="0"/>
          <w:numId w:val="2"/>
        </w:numPr>
        <w:spacing w:after="90"/>
      </w:pPr>
      <w:r>
        <w:rPr>
          <w:sz w:val="22"/>
          <w:szCs w:val="22"/>
        </w:rPr>
        <w:t xml:space="preserve">Run summarize_msdial.py on the resulting .mdpeak files.</w:t>
      </w:r>
    </w:p>
    <w:p>
      <w:pPr>
        <w:pStyle w:val="ListParagraph"/>
        <w:numPr>
          <w:ilvl w:val="0"/>
          <w:numId w:val="2"/>
        </w:numPr>
        <w:spacing w:after="90"/>
      </w:pPr>
      <w:r>
        <w:rPr>
          <w:sz w:val="22"/>
          <w:szCs w:val="22"/>
        </w:rPr>
        <w:t xml:space="preserve">Review sample-level matching statistics and lipid-class summaries.</w:t>
      </w:r>
    </w:p>
    <w:p>
      <w:pPr>
        <w:pStyle w:val="ListParagraph"/>
        <w:numPr>
          <w:ilvl w:val="0"/>
          <w:numId w:val="2"/>
        </w:numPr>
        <w:spacing w:after="90"/>
      </w:pPr>
      <w:r>
        <w:rPr>
          <w:sz w:val="22"/>
          <w:szCs w:val="22"/>
        </w:rPr>
        <w:t xml:space="preserve">Treat annotations as putative MS/MS-supported annotations unless additional orthogonal evidence is available.</w:t>
      </w:r>
    </w:p>
    <w:p>
      <w:pPr>
        <w:spacing w:after="100"/>
      </w:pPr>
    </w:p>
    <w:p>
      <w:pPr>
        <w:pStyle w:val="Heading1"/>
        <w:pBdr>
          <w:bottom w:val="single" w:color="1F4E5C" w:sz="8" w:space="4"/>
        </w:pBdr>
        <w:spacing w:after="200" w:before="480"/>
      </w:pPr>
      <w:r>
        <w:rPr>
          <w:b/>
          <w:bCs/>
          <w:color w:val="1F4E5C"/>
          <w:sz w:val="30"/>
          <w:szCs w:val="30"/>
        </w:rPr>
        <w:t xml:space="preserve">18. Future Development</w:t>
      </w:r>
    </w:p>
    <w:p>
      <w:pPr>
        <w:spacing w:after="160" w:line="288"/>
      </w:pPr>
      <w:r>
        <w:rPr>
          <w:sz w:val="22"/>
          <w:szCs w:val="22"/>
        </w:rPr>
        <w:t xml:space="preserve">The project README identifies the following future extensions:</w:t>
      </w:r>
    </w:p>
    <w:p>
      <w:pPr>
        <w:pStyle w:val="ListParagraph"/>
        <w:numPr>
          <w:ilvl w:val="0"/>
          <w:numId w:val="3"/>
        </w:numPr>
        <w:spacing w:after="90"/>
      </w:pPr>
      <w:r>
        <w:rPr>
          <w:sz w:val="22"/>
          <w:szCs w:val="22"/>
        </w:rPr>
        <w:t xml:space="preserve">Processing multiple patient samples</w:t>
      </w:r>
    </w:p>
    <w:p>
      <w:pPr>
        <w:pStyle w:val="ListParagraph"/>
        <w:numPr>
          <w:ilvl w:val="0"/>
          <w:numId w:val="3"/>
        </w:numPr>
        <w:spacing w:after="90"/>
      </w:pPr>
      <w:r>
        <w:rPr>
          <w:sz w:val="22"/>
          <w:szCs w:val="22"/>
        </w:rPr>
        <w:t xml:space="preserve">Automated batch processing</w:t>
      </w:r>
    </w:p>
    <w:p>
      <w:pPr>
        <w:pStyle w:val="ListParagraph"/>
        <w:numPr>
          <w:ilvl w:val="0"/>
          <w:numId w:val="3"/>
        </w:numPr>
        <w:spacing w:after="90"/>
      </w:pPr>
      <w:r>
        <w:rPr>
          <w:sz w:val="22"/>
          <w:szCs w:val="22"/>
        </w:rPr>
        <w:t xml:space="preserve">Population-level lipidomics analysis</w:t>
      </w:r>
    </w:p>
    <w:p>
      <w:pPr>
        <w:pStyle w:val="ListParagraph"/>
        <w:numPr>
          <w:ilvl w:val="0"/>
          <w:numId w:val="3"/>
        </w:numPr>
        <w:spacing w:after="90"/>
      </w:pPr>
      <w:r>
        <w:rPr>
          <w:sz w:val="22"/>
          <w:szCs w:val="22"/>
        </w:rPr>
        <w:t xml:space="preserve">Quality-control reporting</w:t>
      </w:r>
    </w:p>
    <w:p>
      <w:pPr>
        <w:pStyle w:val="ListParagraph"/>
        <w:numPr>
          <w:ilvl w:val="0"/>
          <w:numId w:val="3"/>
        </w:numPr>
        <w:spacing w:after="90"/>
      </w:pPr>
      <w:r>
        <w:rPr>
          <w:sz w:val="22"/>
          <w:szCs w:val="22"/>
        </w:rPr>
        <w:t xml:space="preserve">Statistical analysis across sample groups</w:t>
      </w:r>
    </w:p>
    <w:p>
      <w:pPr>
        <w:pStyle w:val="ListParagraph"/>
        <w:numPr>
          <w:ilvl w:val="0"/>
          <w:numId w:val="3"/>
        </w:numPr>
        <w:spacing w:after="90"/>
      </w:pPr>
      <w:r>
        <w:rPr>
          <w:sz w:val="22"/>
          <w:szCs w:val="22"/>
        </w:rPr>
        <w:t xml:space="preserve">Pathway/enrichment analysis when an appropriate comparison design is available</w:t>
      </w:r>
    </w:p>
    <w:p>
      <w:pPr>
        <w:pStyle w:val="ListParagraph"/>
        <w:numPr>
          <w:ilvl w:val="0"/>
          <w:numId w:val="3"/>
        </w:numPr>
        <w:spacing w:after="90"/>
      </w:pPr>
      <w:r>
        <w:rPr>
          <w:sz w:val="22"/>
          <w:szCs w:val="22"/>
        </w:rPr>
        <w:t xml:space="preserve">Nextflow workflow implementation</w:t>
      </w:r>
    </w:p>
    <w:p>
      <w:r>
        <w:br w:type="page"/>
      </w:r>
    </w:p>
    <w:p>
      <w:pPr>
        <w:pStyle w:val="Heading1"/>
        <w:pBdr>
          <w:bottom w:val="single" w:color="1F4E5C" w:sz="8" w:space="4"/>
        </w:pBdr>
        <w:spacing w:after="200" w:before="480"/>
      </w:pPr>
      <w:r>
        <w:rPr>
          <w:b/>
          <w:bCs/>
          <w:color w:val="1F4E5C"/>
          <w:sz w:val="30"/>
          <w:szCs w:val="30"/>
        </w:rPr>
        <w:t xml:space="preserve">Appendix A — Key Commands</w:t>
      </w:r>
    </w:p>
    <w:p>
      <w:pPr>
        <w:pBdr>
          <w:top w:val="single" w:color="CBD5D9" w:sz="4" w:space="4"/>
          <w:left w:val="single" w:color="CBD5D9" w:sz="4" w:space="8"/>
          <w:right w:val="single" w:color="CBD5D9" w:sz="4" w:space="4"/>
        </w:pBdr>
        <w:shd w:fill="F4F4F4" w:val="clear"/>
        <w:spacing w:after="0" w:before="100"/>
      </w:pPr>
      <w:r>
        <w:rPr>
          <w:rFonts w:ascii="Consolas" w:cs="Consolas" w:eastAsia="Consolas" w:hAnsi="Consolas"/>
          <w:sz w:val="19"/>
          <w:szCs w:val="19"/>
        </w:rPr>
        <w:t xml:space="preserve"># Enter MS-DIAL working directory</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cd ~/Lipidomics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Install/extract</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unzip MSDIAL.console.v5.5.251021-linux-net8.zip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Make executable</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chmod +x MSDIALCUI</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Verify installation</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--help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Check spectral libraries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ls -lh ~/Lipidomics/*.msp ~/Lipidomics/*.lbm2</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Positive-mode run</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./MSDIALCUI lcms -i ./data/mzml_pos/ -o ./results_pos/ -m param_pos.txt -p</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 Example mzML checks</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-m1 -A1 "spectrumList count" &lt;file&gt;.mzML</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'name="ms level"' &lt;file&gt;.mzML | head</w:t>
      </w:r>
    </w:p>
    <w:p>
      <w:pPr>
        <w:pBdr>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'value="2"' &lt;file&gt;.mzML | wc -l</w:t>
      </w:r>
    </w:p>
    <w:p>
      <w:pPr>
        <w:pBdr>
          <w:bottom w:val="single" w:color="CBD5D9" w:sz="4" w:space="4"/>
          <w:left w:val="single" w:color="CBD5D9" w:sz="4" w:space="8"/>
          <w:right w:val="single" w:color="CBD5D9" w:sz="4" w:space="4"/>
        </w:pBdr>
        <w:shd w:fill="F4F4F4" w:val="clear"/>
        <w:spacing w:after="0" w:before="0"/>
      </w:pPr>
      <w:r>
        <w:rPr>
          <w:rFonts w:ascii="Consolas" w:cs="Consolas" w:eastAsia="Consolas" w:hAnsi="Consolas"/>
          <w:sz w:val="19"/>
          <w:szCs w:val="19"/>
        </w:rPr>
        <w:t xml:space="preserve">grep "&lt;spectrum " &lt;file&gt;.mzML | wc -l</w:t>
      </w:r>
    </w:p>
    <w:p>
      <w:pPr>
        <w:spacing w:after="220"/>
      </w:pPr>
      <w:r>
        <w:t xml:space="preserve"/>
      </w:r>
    </w:p>
    <w:p>
      <w:pPr>
        <w:pStyle w:val="Heading1"/>
        <w:pBdr>
          <w:bottom w:val="single" w:color="1F4E5C" w:sz="8" w:space="4"/>
        </w:pBdr>
        <w:spacing w:after="200" w:before="480"/>
      </w:pPr>
      <w:r>
        <w:rPr>
          <w:b/>
          <w:bCs/>
          <w:color w:val="1F4E5C"/>
          <w:sz w:val="30"/>
          <w:szCs w:val="30"/>
        </w:rPr>
        <w:t xml:space="preserve">Appendix B — Key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4E5C" w:color="1F4E5C" w:val="clear"/>
            <w:tcMar>
              <w:top w:type="dxa" w:w="100"/>
              <w:left w:type="dxa" w:w="120"/>
              <w:bottom w:type="dxa" w:w="100"/>
              <w:right w:type="dxa" w:w="120"/>
            </w:tcMar>
            <w:vAlign w:val="center"/>
          </w:tcPr>
          <w:p>
            <w:r>
              <w:rPr>
                <w:b/>
                <w:bCs/>
                <w:color w:val="FFFFFF"/>
                <w:sz w:val="20"/>
                <w:szCs w:val="20"/>
              </w:rPr>
              <w:t xml:space="preserve">File</w:t>
            </w:r>
          </w:p>
        </w:tc>
        <w:tc>
          <w:tcPr>
            <w:tcW w:type="dxa" w:w="5300"/>
            <w:shd w:fill="1F4E5C" w:color="1F4E5C" w:val="clear"/>
            <w:tcMar>
              <w:top w:type="dxa" w:w="100"/>
              <w:left w:type="dxa" w:w="120"/>
              <w:bottom w:type="dxa" w:w="100"/>
              <w:right w:type="dxa" w:w="120"/>
            </w:tcMar>
            <w:vAlign w:val="center"/>
          </w:tcPr>
          <w:p>
            <w:r>
              <w:rPr>
                <w:b/>
                <w:bCs/>
                <w:color w:val="FFFFFF"/>
                <w:sz w:val="20"/>
                <w:szCs w:val="20"/>
              </w:rPr>
              <w:t xml:space="preserve">Function</w:t>
            </w:r>
          </w:p>
        </w:tc>
      </w:tr>
      <w:tr>
        <w:tc>
          <w:tcPr>
            <w:tcW w:type="dxa" w:w="4200"/>
            <w:tcMar>
              <w:top w:type="dxa" w:w="90"/>
              <w:left w:type="dxa" w:w="120"/>
              <w:bottom w:type="dxa" w:w="90"/>
              <w:right w:type="dxa" w:w="120"/>
            </w:tcMar>
            <w:vAlign w:val="center"/>
          </w:tcPr>
          <w:p>
            <w:r>
              <w:rPr>
                <w:sz w:val="20"/>
                <w:szCs w:val="20"/>
              </w:rPr>
              <w:t xml:space="preserve">MSDIALCUI</w:t>
            </w:r>
          </w:p>
        </w:tc>
        <w:tc>
          <w:tcPr>
            <w:tcW w:type="dxa" w:w="5300"/>
            <w:tcMar>
              <w:top w:type="dxa" w:w="90"/>
              <w:left w:type="dxa" w:w="120"/>
              <w:bottom w:type="dxa" w:w="90"/>
              <w:right w:type="dxa" w:w="120"/>
            </w:tcMar>
            <w:vAlign w:val="center"/>
          </w:tcPr>
          <w:p>
            <w:r>
              <w:rPr>
                <w:sz w:val="20"/>
                <w:szCs w:val="20"/>
              </w:rPr>
              <w:t xml:space="preserve">MS-DIAL Console executable</w:t>
            </w:r>
          </w:p>
        </w:tc>
      </w:tr>
      <w:tr>
        <w:tc>
          <w:tcPr>
            <w:tcW w:type="dxa" w:w="4200"/>
            <w:shd w:fill="F7F9F9" w:val="clear"/>
            <w:tcMar>
              <w:top w:type="dxa" w:w="90"/>
              <w:left w:type="dxa" w:w="120"/>
              <w:bottom w:type="dxa" w:w="90"/>
              <w:right w:type="dxa" w:w="120"/>
            </w:tcMar>
            <w:vAlign w:val="center"/>
          </w:tcPr>
          <w:p>
            <w:r>
              <w:rPr>
                <w:sz w:val="20"/>
                <w:szCs w:val="20"/>
              </w:rPr>
              <w:t xml:space="preserve">MSDIAL-InsilicoMSMS-Lipids-Pos.msp</w:t>
            </w:r>
          </w:p>
        </w:tc>
        <w:tc>
          <w:tcPr>
            <w:tcW w:type="dxa" w:w="5300"/>
            <w:shd w:fill="F7F9F9" w:val="clear"/>
            <w:tcMar>
              <w:top w:type="dxa" w:w="90"/>
              <w:left w:type="dxa" w:w="120"/>
              <w:bottom w:type="dxa" w:w="90"/>
              <w:right w:type="dxa" w:w="120"/>
            </w:tcMar>
            <w:vAlign w:val="center"/>
          </w:tcPr>
          <w:p>
            <w:r>
              <w:rPr>
                <w:sz w:val="20"/>
                <w:szCs w:val="20"/>
              </w:rPr>
              <w:t xml:space="preserve">Positive-mode lipid MSP library</w:t>
            </w:r>
          </w:p>
        </w:tc>
      </w:tr>
      <w:tr>
        <w:tc>
          <w:tcPr>
            <w:tcW w:type="dxa" w:w="4200"/>
            <w:tcMar>
              <w:top w:type="dxa" w:w="90"/>
              <w:left w:type="dxa" w:w="120"/>
              <w:bottom w:type="dxa" w:w="90"/>
              <w:right w:type="dxa" w:w="120"/>
            </w:tcMar>
            <w:vAlign w:val="center"/>
          </w:tcPr>
          <w:p>
            <w:r>
              <w:rPr>
                <w:sz w:val="20"/>
                <w:szCs w:val="20"/>
              </w:rPr>
              <w:t xml:space="preserve">MSDIAL-InsilicoMSMS-Lipids-Neg.msp</w:t>
            </w:r>
          </w:p>
        </w:tc>
        <w:tc>
          <w:tcPr>
            <w:tcW w:type="dxa" w:w="5300"/>
            <w:tcMar>
              <w:top w:type="dxa" w:w="90"/>
              <w:left w:type="dxa" w:w="120"/>
              <w:bottom w:type="dxa" w:w="90"/>
              <w:right w:type="dxa" w:w="120"/>
            </w:tcMar>
            <w:vAlign w:val="center"/>
          </w:tcPr>
          <w:p>
            <w:r>
              <w:rPr>
                <w:sz w:val="20"/>
                <w:szCs w:val="20"/>
              </w:rPr>
              <w:t xml:space="preserve">Negative-mode lipid MSP library</w:t>
            </w:r>
          </w:p>
        </w:tc>
      </w:tr>
      <w:tr>
        <w:tc>
          <w:tcPr>
            <w:tcW w:type="dxa" w:w="4200"/>
            <w:shd w:fill="F7F9F9" w:val="clear"/>
            <w:tcMar>
              <w:top w:type="dxa" w:w="90"/>
              <w:left w:type="dxa" w:w="120"/>
              <w:bottom w:type="dxa" w:w="90"/>
              <w:right w:type="dxa" w:w="120"/>
            </w:tcMar>
            <w:vAlign w:val="center"/>
          </w:tcPr>
          <w:p>
            <w:r>
              <w:rPr>
                <w:sz w:val="20"/>
                <w:szCs w:val="20"/>
              </w:rPr>
              <w:t xml:space="preserve">param_pos.txt</w:t>
            </w:r>
          </w:p>
        </w:tc>
        <w:tc>
          <w:tcPr>
            <w:tcW w:type="dxa" w:w="5300"/>
            <w:shd w:fill="F7F9F9" w:val="clear"/>
            <w:tcMar>
              <w:top w:type="dxa" w:w="90"/>
              <w:left w:type="dxa" w:w="120"/>
              <w:bottom w:type="dxa" w:w="90"/>
              <w:right w:type="dxa" w:w="120"/>
            </w:tcMar>
            <w:vAlign w:val="center"/>
          </w:tcPr>
          <w:p>
            <w:r>
              <w:rPr>
                <w:sz w:val="20"/>
                <w:szCs w:val="20"/>
              </w:rPr>
              <w:t xml:space="preserve">Positive-mode method file used in the recorded run</w:t>
            </w:r>
          </w:p>
        </w:tc>
      </w:tr>
      <w:tr>
        <w:tc>
          <w:tcPr>
            <w:tcW w:type="dxa" w:w="4200"/>
            <w:tcMar>
              <w:top w:type="dxa" w:w="90"/>
              <w:left w:type="dxa" w:w="120"/>
              <w:bottom w:type="dxa" w:w="90"/>
              <w:right w:type="dxa" w:w="120"/>
            </w:tcMar>
            <w:vAlign w:val="center"/>
          </w:tcPr>
          <w:p>
            <w:r>
              <w:rPr>
                <w:sz w:val="20"/>
                <w:szCs w:val="20"/>
              </w:rPr>
              <w:t xml:space="preserve">msdial5_lipidomics_POS_MSP.txt</w:t>
            </w:r>
          </w:p>
        </w:tc>
        <w:tc>
          <w:tcPr>
            <w:tcW w:type="dxa" w:w="5300"/>
            <w:tcMar>
              <w:top w:type="dxa" w:w="90"/>
              <w:left w:type="dxa" w:w="120"/>
              <w:bottom w:type="dxa" w:w="90"/>
              <w:right w:type="dxa" w:w="120"/>
            </w:tcMar>
            <w:vAlign w:val="center"/>
          </w:tcPr>
          <w:p>
            <w:r>
              <w:rPr>
                <w:sz w:val="20"/>
                <w:szCs w:val="20"/>
              </w:rPr>
              <w:t xml:space="preserve">Organized positive-mode parameter file</w:t>
            </w:r>
          </w:p>
        </w:tc>
      </w:tr>
      <w:tr>
        <w:tc>
          <w:tcPr>
            <w:tcW w:type="dxa" w:w="4200"/>
            <w:shd w:fill="F7F9F9" w:val="clear"/>
            <w:tcMar>
              <w:top w:type="dxa" w:w="90"/>
              <w:left w:type="dxa" w:w="120"/>
              <w:bottom w:type="dxa" w:w="90"/>
              <w:right w:type="dxa" w:w="120"/>
            </w:tcMar>
            <w:vAlign w:val="center"/>
          </w:tcPr>
          <w:p>
            <w:r>
              <w:rPr>
                <w:sz w:val="20"/>
                <w:szCs w:val="20"/>
              </w:rPr>
              <w:t xml:space="preserve">msdial5_lipidomics_NEG_MSP.txt</w:t>
            </w:r>
          </w:p>
        </w:tc>
        <w:tc>
          <w:tcPr>
            <w:tcW w:type="dxa" w:w="5300"/>
            <w:shd w:fill="F7F9F9" w:val="clear"/>
            <w:tcMar>
              <w:top w:type="dxa" w:w="90"/>
              <w:left w:type="dxa" w:w="120"/>
              <w:bottom w:type="dxa" w:w="90"/>
              <w:right w:type="dxa" w:w="120"/>
            </w:tcMar>
            <w:vAlign w:val="center"/>
          </w:tcPr>
          <w:p>
            <w:r>
              <w:rPr>
                <w:sz w:val="20"/>
                <w:szCs w:val="20"/>
              </w:rPr>
              <w:t xml:space="preserve">Organized negative-mode parameter file</w:t>
            </w:r>
          </w:p>
        </w:tc>
      </w:tr>
      <w:tr>
        <w:tc>
          <w:tcPr>
            <w:tcW w:type="dxa" w:w="4200"/>
            <w:tcMar>
              <w:top w:type="dxa" w:w="90"/>
              <w:left w:type="dxa" w:w="120"/>
              <w:bottom w:type="dxa" w:w="90"/>
              <w:right w:type="dxa" w:w="120"/>
            </w:tcMar>
            <w:vAlign w:val="center"/>
          </w:tcPr>
          <w:p>
            <w:r>
              <w:rPr>
                <w:sz w:val="20"/>
                <w:szCs w:val="20"/>
              </w:rPr>
              <w:t xml:space="preserve">summarize_msdial.py</w:t>
            </w:r>
          </w:p>
        </w:tc>
        <w:tc>
          <w:tcPr>
            <w:tcW w:type="dxa" w:w="5300"/>
            <w:tcMar>
              <w:top w:type="dxa" w:w="90"/>
              <w:left w:type="dxa" w:w="120"/>
              <w:bottom w:type="dxa" w:w="90"/>
              <w:right w:type="dxa" w:w="120"/>
            </w:tcMar>
            <w:vAlign w:val="center"/>
          </w:tcPr>
          <w:p>
            <w:r>
              <w:rPr>
                <w:sz w:val="20"/>
                <w:szCs w:val="20"/>
              </w:rPr>
              <w:t xml:space="preserve">Post-processing and summary-generation script</w:t>
            </w:r>
          </w:p>
        </w:tc>
      </w:tr>
      <w:tr>
        <w:tc>
          <w:tcPr>
            <w:tcW w:type="dxa" w:w="4200"/>
            <w:shd w:fill="F7F9F9" w:val="clear"/>
            <w:tcMar>
              <w:top w:type="dxa" w:w="90"/>
              <w:left w:type="dxa" w:w="120"/>
              <w:bottom w:type="dxa" w:w="90"/>
              <w:right w:type="dxa" w:w="120"/>
            </w:tcMar>
            <w:vAlign w:val="center"/>
          </w:tcPr>
          <w:p>
            <w:r>
              <w:rPr>
                <w:sz w:val="20"/>
                <w:szCs w:val="20"/>
              </w:rPr>
              <w:t xml:space="preserve">MSDIAL_sample_summary.tsv</w:t>
            </w:r>
          </w:p>
        </w:tc>
        <w:tc>
          <w:tcPr>
            <w:tcW w:type="dxa" w:w="5300"/>
            <w:shd w:fill="F7F9F9" w:val="clear"/>
            <w:tcMar>
              <w:top w:type="dxa" w:w="90"/>
              <w:left w:type="dxa" w:w="120"/>
              <w:bottom w:type="dxa" w:w="90"/>
              <w:right w:type="dxa" w:w="120"/>
            </w:tcMar>
            <w:vAlign w:val="center"/>
          </w:tcPr>
          <w:p>
            <w:r>
              <w:rPr>
                <w:sz w:val="20"/>
                <w:szCs w:val="20"/>
              </w:rPr>
              <w:t xml:space="preserve">Sample-level feature/matching summary</w:t>
            </w:r>
          </w:p>
        </w:tc>
      </w:tr>
      <w:tr>
        <w:tc>
          <w:tcPr>
            <w:tcW w:type="dxa" w:w="4200"/>
            <w:tcMar>
              <w:top w:type="dxa" w:w="90"/>
              <w:left w:type="dxa" w:w="120"/>
              <w:bottom w:type="dxa" w:w="90"/>
              <w:right w:type="dxa" w:w="120"/>
            </w:tcMar>
            <w:vAlign w:val="center"/>
          </w:tcPr>
          <w:p>
            <w:r>
              <w:rPr>
                <w:sz w:val="20"/>
                <w:szCs w:val="20"/>
              </w:rPr>
              <w:t xml:space="preserve">MSDIAL_MSMS_annotations.tsv</w:t>
            </w:r>
          </w:p>
        </w:tc>
        <w:tc>
          <w:tcPr>
            <w:tcW w:type="dxa" w:w="5300"/>
            <w:tcMar>
              <w:top w:type="dxa" w:w="90"/>
              <w:left w:type="dxa" w:w="120"/>
              <w:bottom w:type="dxa" w:w="90"/>
              <w:right w:type="dxa" w:w="120"/>
            </w:tcMar>
            <w:vAlign w:val="center"/>
          </w:tcPr>
          <w:p>
            <w:r>
              <w:rPr>
                <w:sz w:val="20"/>
                <w:szCs w:val="20"/>
              </w:rPr>
              <w:t xml:space="preserve">MS/MS-supported annotation table</w:t>
            </w:r>
          </w:p>
        </w:tc>
      </w:tr>
    </w:tbl>
    <w:p>
      <w:pPr>
        <w:pStyle w:val="Heading1"/>
        <w:pBdr>
          <w:bottom w:val="single" w:color="1F4E5C" w:sz="8" w:space="4"/>
        </w:pBdr>
        <w:spacing w:after="200" w:before="480"/>
      </w:pPr>
      <w:r>
        <w:rPr>
          <w:b/>
          <w:bCs/>
          <w:color w:val="1F4E5C"/>
          <w:sz w:val="30"/>
          <w:szCs w:val="30"/>
        </w:rPr>
        <w:t xml:space="preserve">Appendix C — Technical Notes</w:t>
      </w:r>
    </w:p>
    <w:p>
      <w:pPr>
        <w:spacing w:after="160" w:line="288"/>
      </w:pPr>
      <w:r>
        <w:rPr>
          <w:sz w:val="22"/>
          <w:szCs w:val="22"/>
        </w:rPr>
        <w:t xml:space="preserve">The basic positive parameter file recorded an identification cut-off of 80, while the detailed MSP annotation settings use explicit matching tolerances and scoring parameters. For reproducibility, the full parameter files should be treated as the authoritative configuration rather than manually re-entering individual settings.</w:t>
      </w:r>
    </w:p>
    <w:p>
      <w:pPr>
        <w:spacing w:after="160" w:line="288"/>
      </w:pPr>
      <w:r>
        <w:rPr>
          <w:sz w:val="22"/>
          <w:szCs w:val="22"/>
        </w:rPr>
        <w:t xml:space="preserve">The workflow deliberately keeps positive and negative modes separate. This avoids mixing polarity-specific adduct definitions and spectral libraries and makes the workflow suitable for later automation.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of </w:t>
    </w:r>
    <w:r>
      <w:rPr>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9" w:sz="4" w:space="4"/>
      </w:pBdr>
      <w:jc w:val="right"/>
    </w:pPr>
    <w:r>
      <w:rPr>
        <w:i/>
        <w:iCs/>
        <w:color w:val="5B6770"/>
        <w:sz w:val="16"/>
        <w:szCs w:val="16"/>
      </w:rPr>
      <w:t xml:space="preserve">MS-DIAL Console Lipidomics Workflow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2026-09-09T10:14:14.857Z</dcterms:created>
  <dcterms:modified xsi:type="dcterms:W3CDTF">2026-09-09T10:14:14.857Z</dcterms:modified>
</cp:coreProperties>
</file>

<file path=docProps/custom.xml><?xml version="1.0" encoding="utf-8"?>
<Properties xmlns="http://schemas.openxmlformats.org/officeDocument/2006/custom-properties" xmlns:vt="http://schemas.openxmlformats.org/officeDocument/2006/docPropsVTypes"/>
</file>