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Quantitative Verification of High-Probability Trade Setups: A Statistical Edge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landscape of active trading and algorithmic speculation has undergone a permanent structural shift, transitioning rapidly from discretionary pattern recognition toward algorithmically verified, statistically robust systematic edges. The proliferation of retail trading lore, largely propagated through unregulated social media channels, has led to the widespread adoption of specific trade setups. Many of these methodologies have seen their theoretical alpha decay purely through over-saturation, as institutional market makers and predatory high-frequency algorithms engineer environments specifically designed to exploit highly predictable retail order flow. When analyzing market inefficiencies, a rigorous empirical approach separates generalized heuristics from actionable, positive-expectancy frameworks. This report exhaustively analyzes the underlying mechanics, historical backtest performance, structural viability, and risk-management parameters of the most prominent institutional and retail trading setups identified in contemporary financial data.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dissecting specific methodologies—ranging from the intraday volatility modeling of the Opening Range Breakout (ORB) to the market-neutral yielding of cryptocurrency funding rate arbitrage—this analysis seeks to establish a definitive quantitative benchmark for what constitutes a valid trading edge in modern financial markets. The verification of these setups relies heavily on deep statistical samples, temporal anomaly detection, and advanced risk-adjusted performance metrics.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Intraday Range Expansion and Time-Based Volatility Models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opening minutes of any major equity, index, or futures session represent the highest concentration of institutional order flow, overnight gap reconciliations, and algorithmic positioning. Consequently, strategies designed to capture the initial expansion of price away from this opening equilibrium remain highly scrutinized by quantitative analysts.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Deterioration and Parametric Optimization of the Opening Range Breakout (ORB)</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Historically, the Opening Range Breakout (ORB) relied on a rudimentary mechanical premise: buying the break of the first 15-minute or 30-minute candle's high or shorting the break of its low. However, longitudinal backtests on primary instruments like the S&amp;P 500 (SPY/ES) demonstrate that simple ORB setups no longer yield consistent profitability.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deterioration of this edge is directly attributed to its mainstream popularity, which has allowed predatory algorithmic models to engineer false breakouts (liquidity sweeps) precisely at these known retail trigger points.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extract a verifiable edge from the ORB, the strategy must be strictly parameterized across specific timeframes, maximum loss caps, and directional probabilities. Comprehensive backtesting across 1,178,668 discrete trades and over 600 individual symbols across 311 trading days of 1-minute candle data reveals critical paradoxes in timeframe selection and expected value.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30-minute timeframe is frequently touted in discretionary literature as a "safer" filter against early market noise. However, empirical data directly contradicts this, ranking the 30-minute ORB last among its peers, generating a raw win rate of only 49.38%.</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Conversely, the 5-minute ORB presents the highest raw win rate at 53.78% across general datasets.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Yet, win rate alone presents an incomplete and often misleading picture of positive expectancy. The 15-minute ORB, while suffering from a lower win rate of 46%, historically generates the highest Expected Value (EV), yielding $0.044 per trade.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mathematical divergence implies that the magnitude of the 15-minute trend expansions heavily outweighs the frequency of its false-breakout losses, generating a superior asymmetry in the return distribution.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ORB Timeframe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Raw Win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Expected Value (EV) Per Trade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frequency of initial directional bursts; susceptible to early reversals.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15-Minute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Lower hit rate but captures sustained institutional trend days, driving positive skewness.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30-Minute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49.38%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Delayed entry causes poor risk-to-reward metrics as the initial volatility premium decays.</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1: Expected Value and Win Rate by ORB Timeframe across a 1.17 million trade sample.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analyzing specific tickers, volatility profiles dictate performance. In the overarching dataset, high-beta equities such as TSLA emerge as the optimal vehicles for ORB trading, possessing the necessary intraday true range to drive price far beyond the opening equilibrium.</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E-Mini S&amp;P (ES) 5-Minute ORB: A Localized Success Model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general equity data favors the 15-minute expected value, isolating specific asset classes yields different optimizations. When localized specifically to E-mini S&amp;P 500 (ES) futures over a six-month optimization window, a highly filtered 5-minute ORB strategy yielded an exceptional 72.17% win rate, producing a 108% return on a $10,000 account allocation with a robust profit factor of 1.623.</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backtest was executed trading a single ES contract, netting $10,825 across 115 targeted trades.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efficacy of the 5-minute window on ES futures is rooted heavily in market microstructure. A 5-minute range naturally establishes tighter boundaries, which directly translates to narrower stop-loss distances.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Because the standard invalidation level for an ORB sits at the exact opposite edge of the defined opening range, a narrower range limits per-trade capital exposure.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Furthermore, key support and resistance levels are locked in by 09:35 ET, granting the model an additional ten minutes to capture the initial institutional liquidity surge before the mid-morning equilibrium algorithmically stabilizes the spread.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achieve this 72.17% win rate, the system utilizes extreme filtering mechanisms. A hard maximum dollar loss cap of $700 (equivalent to 14 points on a single ES contract) is permanently established, acting as a tail-risk circuit breaker against catastrophic outlier events.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Furthermore, trades are bypassed entirely if the initial opening range exceeds 0.55% of the asset's opening price. Overly wide opening ranges skew the risk-to-reward ratio into negative expectancy and indicate a highly volatile, untradable market regime where mean reversion is more likely than trend continuation.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"Double Break" Phenomenon and Target Multipliers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secondary structural insight derived from opening range data is the overwhelming prevalence of the "double break." A double break occurs when price tags both the high and the low of the opening range within the same session. On ES futures, the price executes a double break 66.93% of the time.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Statistically, the market is vastly more likely to chop through both boundaries than it is to initiate a unidirectional trend (single upward breakouts occur only ~16.92% of the time, and single breakdowns ~16.15%).</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Advanced quantitative models exploit this by fading the initial breakout, anticipating a mean-reversion move that sweeps the opposite side of the range.</w:t>
      </w:r>
      <w:r w:rsidDel="00000000" w:rsidR="00000000" w:rsidRPr="00000000">
        <w:rPr>
          <w:rFonts w:ascii="Google Sans" w:cs="Google Sans" w:eastAsia="Google Sans" w:hAnsi="Google Sans"/>
          <w:sz w:val="24"/>
          <w:szCs w:val="24"/>
          <w:vertAlign w:val="superscript"/>
          <w:rtl w:val="0"/>
        </w:rPr>
        <w:t xml:space="preserve">3</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Directional Outcome (15-Min ES ORB)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Statistical 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Market Microstructure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Single Breakout (Long)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Sustained institutional buying absorbs all overhead supply; true trend 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Single Breakdown (Short)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capitulation and liquidity voids drive unidirectional selling.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Double Break (Chop/Sweep)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66.93%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 breakout traps retail momentum traders before reversing to hunt opposite liquidity.</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2: Directional Market Statistics for the 15-Minute ES Opening Range Breakout.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establishing profit targets, arbitrary percentage returns destroy mathematical expectancy. Data modeling relies on tracking range multiples (e.g., 0.5x, 1x, 2x the original opening range size). On the ES, price naturally reaches a 0.5x topside multiple 72% of the time and a -0.5x downside multiple 68% of the time.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Conversely, extreme extensions beyond a 3.0x multiple occur less than 20% of the time, providing robust empirical data for scaling out of positions.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methodology of measurement heavily dictates these outcomes. "By wick" measurement—calculating the exact moment a candle's wick breaks the boundary—produces targets of ~0.30% upward and ~0.29% downward on Dow Jones (YM) futures.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contrast, requiring a "by close" confirmation (waiting for a 15-minute candle body to completely close outside the range) forces the algorithm to endure normal price volatility, but successfully extends the average captured profit target to 0.62% on breakouts and 0.45% on breakdowns.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Seasonality Distortions and Weekday Edges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Market behavior is not uniform across the calendar week, and applying a static strategy indiscriminately from Monday through Friday results in systemic equity bleed. Subreport data tracking YM futures over a 6-month period highlights profound volatility discrepancies based purely on the day of the week.</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"Initial Balance" (IB)—the trading range established in the first hour of the New York session—exhibits wild daily variations. A single break of the IB range occurs 76.8% of the time on average.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However, on Thursdays, this probability surges to 87.5%, granting extreme directional confidence for trend-following algorithms.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Conversely, on Wednesdays, this single-break probability plummets to 58%, shifting the market profile into a highly rotational, mean-reverting environment.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Similarly, gap fill probabilities shift dynamically; YM upside gaps fill an overwhelming 92% of the time on Tuesdays, compared to a mere 55% fill rate on Fridays.</w:t>
      </w:r>
      <w:r w:rsidDel="00000000" w:rsidR="00000000" w:rsidRPr="00000000">
        <w:rPr>
          <w:rFonts w:ascii="Google Sans" w:cs="Google Sans" w:eastAsia="Google Sans" w:hAnsi="Google Sans"/>
          <w:sz w:val="24"/>
          <w:szCs w:val="24"/>
          <w:vertAlign w:val="superscript"/>
          <w:rtl w:val="0"/>
        </w:rPr>
        <w:t xml:space="preserve">3</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Trading Setup &amp;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Average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Tuesday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Wednesday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Thursday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Friday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YM Gap Fill (Upside)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68% Fill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YM IB Single Break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76.8%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YM ORB Double Break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48.0%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3: Weekday Seasonality and Subreport Volatility Discrepancies on YM Futures.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Recognizing these daily fluctuations allows quantitative developers to automatically suspend specific triggers. For example, the highly successful ES 5-minute ORB algorithm explicitly turns off long-side breakout triggers on Tuesdays, as the data flags a chronic lack of follow-through for bullish expansions on that specific day.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Automation and Execution Infrastructure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Transitioning these backtested edges into live-market production requires rigorous, objective automation. Subjective concepts (e.g., "price looks strong") are incompatible with programmatic execution; rules must be quantifiable, such as "price breaks above the previous day's high by at least 0.1%".</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Deploying a successful systematic setup requires a rigid six-step architecture, integrating deep risk-management protocols to prevent flash-crashes.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Execution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Requirements and Procedural Safeguards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Algorithmic Identification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 a minimum of 2 years of historical backtesting. Prioritize 60-70% steady win rates over erratic 90% systems prone to catastrophic tail-risk.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Parameter 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 the "Manual Rule": do not automate a strategy you would not trade manually for 30 consecutive trades. Restrict parameter tweaking to monthly intervals to prevent curve-fitting and edge destruction.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Broker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Utilize direct API connections (e.g., Tradovate, NinjaTrader) after thoroughly reviewing automated trading terms of service.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Strategy Nomenclature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Assign highly specific naming conventions mapping the exact parameters (e.g., "NQ ORB 5min 0.5R") to maintain execution clarity.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Webhook Deployment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Utilize charting platforms like TradingView to transmit JSON payloads via secure webhook URLs directly to the broker API for millisecond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Paper Trade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 the live algorithm in a simulated environment for a minimum of one week to monitor latency (&lt; 2 seconds) and measure expected execution slippage (1-3 ticks).</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4: Algorithmic Automation and Risk Management Protocol.</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Risk sizing within these automated systems must be strictly mathematical, utilizing fixed fractional risk (e.g., strictly 1% of a $10,000 account, or $100 per trade), volatility-adjusted sizing (shrinking position size dynamically as the ATR expands), or correlation-adjusted sizing (reducing total exposure if multiple running algorithms trigger simultaneous directional signals).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Furthermore, macro drawdown limits must be hard-coded, halting all automated trading instantly if the aggregate portfolio drops 10% to 20%, enforcing a mandatory manual review of the structural market regime.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Mean Reversion, Oscillators, and the Distribution Fallacy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Mean reversion strategies rely on the statistical premise that price will eventually return to a historical moving average after an extreme deviation. While mathematically sound in stationary, ranging environments, these systems often suffer from fatal algorithmic flaws when exposed to trending regimes. When market dynamics shift from mean-reverting to trending (a regime shift frequently modeled via Markov switching processes), the underlying assumptions of normal distribution fail.</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Bollinger Band and RSI Algorithmic Fallacy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stark contrast to heavily parameterized systems, retail marketing frequently promotes a combined Bollinger Band and Relative Strength Index (RSI) strategy as an infallible method for capturing mean reversion. The basic heuristic logic dictates executing a long position when the price breaches the lower Bollinger Band while the RSI registers as oversold (below 30), and initiating a short position when the upper band is breached while the RSI is overbought (above 70).</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Extensive programmatic backtesting across 100 US equities, 100 cryptocurrencies, 30 US futures, and 50 forex pairs utterly dismantles the viability of this generalized model.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While the win rate can occasionally spike above 60% on lower intraday timeframes—creating the deceptive illusion of a highly profitable system—the average trade return is structurally negative, and risk-adjusted metrics like the Sharpe ratio degrade severely.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highly trending asset classes like cryptocurrency, this setup generated rapid, unbounded loss accumulations. The price mechanics simply "rode the band" downward in a structural cascade, while the RSI remained permanently pinned in oversold territory.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 a specific benchmark test tracking the strategy across a continuous dataset, combining the Bollinger Band entry with a 200-period moving average trend filter resulted in a dismal 35% win rate, yielding 11 consecutive false signals in a single drawdown sequence.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reality is that high win rates marketed by simplistic indicator overlays fail to account for heteroskedasticity and changing volatility regimes. Standalone Bollinger Band reversal strategies—when heavily optimized with additional proprietary market-breadth filters—have shown isolated win rates of 71.37% with drawdowns contained to 16.58%.</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However, these are highly selective institutional implementations that remain in cash over 90% of the time, and do not reflect the standard, ubiquitous retail model which suffers from negative mathematical expectancy.</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Larry Connors' RSI(2) Micro-Reversion Model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robust and historically verified example of a positive-expectancy mean-reversion edge is Larry Connors' 2-period RSI strategy. Unlike standard 14-period RSI oscillators which lag significantly behind price action, the RSI(2) is hyper-sensitive, engineered to capture micro-panics and algorithmic liquidity voids strictly within an established macro uptrend.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algorithmic logic requires a rigid broad market filter: the overarching market proxy, the S&amp;P 500 (SPY), must be trading above its 200-day moving average.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Alternatively, the SPY's 40-period SMA must be below the close to identify a structural dip.</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specific execution conditions demand that the asset's 5-period Exponential Moving Average (EMA) is greater than the closing price, and the 2-period RSI plummets below the extreme threshold of 10.</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Execution occurs algorithmically on the subsequent day's open. The exit protocol is equally aggressive: the position is liquidated the exact moment the RSI(2) crosses above 70, or the closing price successfully exceeds the 5-period EMA.</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Quantitative backtests of this specific architecture exhibit an exceptionally high win rate, frequently ranging between 70% and 80%.</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However, this win rate masks a challenging risk-to-reward dynamic characteristic of mean-reversion models. The average win per trade is a mere 0.5%, and the risk-to-reward ratio often inverses to a heavily negatively skewed 1:1.5.</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When applied as a portfolio allocation strategy across the S&amp;P 500 constituents—testing allocations of 5%, 10%, and 20% across 20, 10, and 5 portfolio slots respectively—the Compound Annual Growth Rate (CAGR) hovers between 8% and 12%.</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Maximum portfolio drawdowns, depending entirely on the strictness of the 200-day trend filter, fluctuate violently between 15% and 31%.</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strategy's long-term survival depends entirely on the high frequency of fractional quantitative wins heavily outpacing the occasional, sharp drawdown caused by an abrupt secular trend failure.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Liquidity Sweeps and "Turtle Soup" Mechanisms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far more sophisticated approach to mean reversion involves trading "liquidity sweeps"—frequently referred to in Inner Circle Trader (ICT) terminology as a "Turtle Soup" setup. This microstructural phenomenon occurs when institutional algorithms intentionally drive the price slightly above a known resistance level (or below a known support level).</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action is designed specifically to trigger retail stop-loss orders and trap breakout buyers, generating a massive influx of liquidity. Once the institutional entities have absorbed that liquidity to fill their massive block orders, the price reverses aggressively.</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Execution of this setup requires profound algorithmic patience. The model must wait for the price to sweep the liquidity pool and then forcefully close back inside the established range, printing a clear rejection candlestick signature such as a pin bar or an engulfing pattern.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entry is triggered upon the micro-retest of the swept level, placing an exceptionally tight stop-loss immediately behind the newly formed extreme wick.</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Implementing this "close back inside" confirmation filter has been empirically shown to boost the win rate of reversal setups by 10% to 15% across major forex pairs like EUR/USD.</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While proponents frequently claim staggering 75% win rates on higher timeframes (such as the 4-hour and 1-hour liquidity sweep combinations)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broader quantitative reviews of 16,000 retail trading strategies reveal that liquidity sweep models are intensely regime-dependent.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In active live-market environments, the win rate of a standardized sweep strategy oscillates violently between 40% and 70% as the market shifts from mean-reverting behavior to a random walk.</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Without an overarching macroeconomic bias filter, the setup frequently falls victim to false signals, proving that deep structural context is exponentially more critical than the localized candlestick rejection pattern.</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Institutional Order Flow and Algorithmic Pricing Inefficiencies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pinnacle of short-term systematic trading revolves around identifying and exploiting the exact footprints left by institutional order flow. Because large-cap banks and hedge funds cannot enter the market without displacing price, they inadvertently create structural voids and inefficiencies that can be measured, mapped, and mathematically exploited by retail algorithms.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Mechanics of Fair Value Gaps (FVG)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Originating from the ICT methodology, the Fair Value Gap (FVG) represents a specific three-candle price action sequence indicating a severe imbalance between buyers and sellers, resulting in a localized failure of efficient price discovery.</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structural footprint involves a massive directional candlestick (Candle 2) resulting from aggressive institutional execution.</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Crucially, the wicks of the preceding candle (Candle 1) and the succeeding candle (Candle 3) fail to overlap, leaving a physical void of uncontested liquidity on the chart.</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A Bullish FVG occurs during rapid buying (Candle 3 low is higher than Candle 1 high), establishing a potential demand zone, while a Bearish FVG forms during rapid selling, creating a supply zone.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Retail heuristics and simplistic trading lore incorrectly assume that all FVGs act as "magnets" that price must eventually return to and fill entirely to restore market equilibrium.</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Quantitative backtesting using vast troves of real market data fundamentally dismantles this assumption. Analysis of thousands of 30-minute FVGs on Dow Jones (YM) futures over a six-month period reveals that FVGs primarily act as institutional defense zones rather than vacuums.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Demystifying the FVG Mitigation Myth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tracking how often price returns to "mitigate" or fill these gaps within the same New York trading session (09:30 AM – 04:00 PM ET), the results heavily depend on the exact mitigation criteria utilized.</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If mitigation is defined "by wick" (where price merely touches the FVG zone), 52.38% of Bullish FVGs and 50.40% of Bearish FVGs remain completely unmitigated.</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true statistical edge is revealed when applying "by close" criteria, where a subsequent candle must physically close inside or beyond the FVG zone to consider it compromised. Under these parameters, a staggering 60.71% of bullish FVGs and 63.2% of bearish FVGs remain unmitigated during the session.</w:t>
      </w:r>
      <w:r w:rsidDel="00000000" w:rsidR="00000000" w:rsidRPr="00000000">
        <w:rPr>
          <w:rFonts w:ascii="Google Sans" w:cs="Google Sans" w:eastAsia="Google Sans" w:hAnsi="Google Sans"/>
          <w:sz w:val="24"/>
          <w:szCs w:val="24"/>
          <w:vertAlign w:val="superscript"/>
          <w:rtl w:val="0"/>
        </w:rPr>
        <w:t xml:space="preserve">16</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Mitigation Definition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Bullish FVG (Unmitigated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Bearish FVG (Unmitigated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Institutional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By Wick</w:t>
            </w:r>
            <w:r w:rsidDel="00000000" w:rsidR="00000000" w:rsidRPr="00000000">
              <w:rPr>
                <w:rFonts w:ascii="Google Sans" w:cs="Google Sans" w:eastAsia="Google Sans" w:hAnsi="Google Sans"/>
                <w:rtl w:val="0"/>
              </w:rPr>
              <w:t xml:space="preserve"> (Price touches gap)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Institutions absorb incoming counter-trend liquidity at the immediate boundary.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By Close</w:t>
            </w:r>
            <w:r w:rsidDel="00000000" w:rsidR="00000000" w:rsidRPr="00000000">
              <w:rPr>
                <w:rFonts w:ascii="Google Sans" w:cs="Google Sans" w:eastAsia="Google Sans" w:hAnsi="Google Sans"/>
                <w:rtl w:val="0"/>
              </w:rPr>
              <w:t xml:space="preserve"> (Candle closes in gap)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60.71%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gap holds firm as a major structural support/resistance zone.</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5: FVG Mitigation Outcomes and Institutional Defense Rates on 30-Minute YM Futures.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underlying microstructure explains this phenomenon perfectly. The institutional entities that initiated the violent price displacement responsible for creating the FVG have a massive vested interest in defending their average execution price. When retail traders attempt to fade the original move by targeting a gap fill, the institutional defense algorithms absorb this counter-trend liquidity. This results in the price wicking into the FVG but failing to close within it, providing a mathematically verified edge to trade FVGs as trend-continuation setups rather than mean-reversion targets.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30-minute timeframe emerges as the optimal analytical window for FVG validation. Lower timeframes (such as 1-minute or 5-minute charts) produce excessive algorithmic noise—micro-imbalances generated by high-frequency market makers that are filled almost instantaneously.</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Conversely, higher timeframes (daily charts) produce actionable signals too infrequently, often rendering the levels too distant for intraday execution. The 30-minute chart strikes a perfect statistical equilibrium, averaging 3 to 5 high-quality institutional footprints per session while maintaining tight, easily definable stop-loss parameters.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Inverse FVGs and Macro Z-Score Models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analysis of gaps extends to the concept of Inverse Fair Value Gaps (IFVGs). An IFVG occurs when a regular FVG is violated by a strong price close, causing it to instantly flip its directional bias.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For example, a Bullish FVG that fails to hold as support and is broken to the downside mathematically converts into a highly potent supply zone (resistance).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Automated platforms and algorithmic scanners, such as TrendSpider's FVG pattern recognition systems, actively map these flips in real-time, allowing quantitative models to seamlessly reverse their directional bias alongside institutional flow.</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executed across long-term portfolios, the nuances of FVG trading become apparent. A 10-year backtest presented by quantitative researchers testing FVG setups on specific equities highlights severe negative skewness if applied indiscriminately. On a high-performing subset, an FVG portfolio yielded an 85.53% win rate and an impressive 13.77% CAGR over a decade.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However, the risk metrics reveal deep structural imbalances: the average winning trade captured $19,535, while the average losing trade hemorrhaged -$63,604, resulting in a maximum drawdown of 42.62% and a meager Sharpe ratio of 0.56.</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Applying this exact same strategy to an underperforming equity (ABNB) resulted in a -2.80% CAGR, a 0.00 Sharpe ratio, and total system failure despite maintaining a 73.08% win rate.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proves definitively that high win rates in FVG trading are often an illusion purchased at the cost of massive, unbounded tail-risk drawdowns if not strictly hedged.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Broader portfolio-level backtests validate that FVG signals generated via macroeconomic deviations are far more robust. The Qi Data Analytics team analyzed the Euro Stoxx 600, generating FVG signals by comparing the spot market price against a fair model value derived via Principal Component Analysis (PCA) and Ordinary Least Squares (OLS) regression.</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The resulting deviation (represented as normalized z-scores) provided a macroeconomic FVG trigger that generated exceptional hit rates and positive mean returns, particularly for long-only equity execution.</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Time-Based Liquidity Routing: ICT Silver Bullet and Kill Zones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Financial markets do not distribute liquidity or volatility evenly across the 24-hour daily cycle. The ICT methodology categorizes specific periods of extreme volatility and institutional order routing into localized windows known as "Kill Zones." These zones correspond directly with the overlap of global banking hours and the execution of institutional block orders.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Defining Daily Bias and Macro Intent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functionality of any intraday algorithmic model is completely dependent on correctly identifying the "Daily Bias"—the statistically predicted directional expansion of the daily candle.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If an intraday algorithm fires a bullish setup while the macro institutional flow is bearish, the trade will almost certainly fail as a localized manipulation swing designed to hunt retail liquidity.</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Bias is mathematically determined by aligning three critical daily-chart variables prior to the session open:</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Order Flow Structure:</w:t>
      </w:r>
      <w:r w:rsidDel="00000000" w:rsidR="00000000" w:rsidRPr="00000000">
        <w:rPr>
          <w:rFonts w:ascii="Google Sans" w:cs="Google Sans" w:eastAsia="Google Sans" w:hAnsi="Google Sans"/>
          <w:rtl w:val="0"/>
        </w:rPr>
        <w:t xml:space="preserve"> The chart must print a sequence of higher highs and higher lows to establish a bullish institutional mandate, or lower lows and lower highs for a bearish mandate.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Imbalance Rebalancing:</w:t>
      </w:r>
      <w:r w:rsidDel="00000000" w:rsidR="00000000" w:rsidRPr="00000000">
        <w:rPr>
          <w:rFonts w:ascii="Google Sans" w:cs="Google Sans" w:eastAsia="Google Sans" w:hAnsi="Google Sans"/>
          <w:rtl w:val="0"/>
        </w:rPr>
        <w:t xml:space="preserve"> Price naturally drifts toward large, unmitigated weekly or daily FVGs.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Draw on Liquidity (DOL):</w:t>
      </w:r>
      <w:r w:rsidDel="00000000" w:rsidR="00000000" w:rsidRPr="00000000">
        <w:rPr>
          <w:rFonts w:ascii="Google Sans" w:cs="Google Sans" w:eastAsia="Google Sans" w:hAnsi="Google Sans"/>
          <w:rtl w:val="0"/>
        </w:rPr>
        <w:t xml:space="preserve"> The algorithm calculates whether the nearest macro pool of un-triggered stop orders resides above old highs or below old lows. Institutional price delivery will magnetically gravitate toward these resting orders.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all three vectors align, the directional bias is confirmed. If the daily chart prints inside-bar consolidation, or if the metrics conflict, the bias is classified as neutral, mathematically requiring the suspension of all intraday trading to avoid low-probability chop.</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Kill Zone Architecture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bias is secured, execution is restricted to specific windows </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Asian Kill Zone</w:t>
      </w:r>
      <w:r w:rsidDel="00000000" w:rsidR="00000000" w:rsidRPr="00000000">
        <w:rPr>
          <w:rFonts w:ascii="Google Sans" w:cs="Google Sans" w:eastAsia="Google Sans" w:hAnsi="Google Sans"/>
          <w:rtl w:val="0"/>
        </w:rPr>
        <w:t xml:space="preserve"> (07:00 PM – 10:00 PM EST): Characterized by tight consolidation ranges in USD pairs, often establishing the exact high and low boundaries that will be aggressively hunted in later sessions.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London Kill Zone</w:t>
      </w:r>
      <w:r w:rsidDel="00000000" w:rsidR="00000000" w:rsidRPr="00000000">
        <w:rPr>
          <w:rFonts w:ascii="Google Sans" w:cs="Google Sans" w:eastAsia="Google Sans" w:hAnsi="Google Sans"/>
          <w:rtl w:val="0"/>
        </w:rPr>
        <w:t xml:space="preserve"> (02:00 AM – 05:00 AM EST): Historically features the highest probability of establishing the actual high or low of the daily profile, frequently launching the primary directional move of the 24-hour cycle.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New York Kill Zone</w:t>
      </w:r>
      <w:r w:rsidDel="00000000" w:rsidR="00000000" w:rsidRPr="00000000">
        <w:rPr>
          <w:rFonts w:ascii="Google Sans" w:cs="Google Sans" w:eastAsia="Google Sans" w:hAnsi="Google Sans"/>
          <w:rtl w:val="0"/>
        </w:rPr>
        <w:t xml:space="preserve"> (07:00 AM – 10:00 AM EST): Delivers maximum volatility due to the overlap of European and American institutional execution, specifically advantageous for index futures (ES, NQ) and metals (XAU/USD).</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London Close Kill Zone</w:t>
      </w:r>
      <w:r w:rsidDel="00000000" w:rsidR="00000000" w:rsidRPr="00000000">
        <w:rPr>
          <w:rFonts w:ascii="Google Sans" w:cs="Google Sans" w:eastAsia="Google Sans" w:hAnsi="Google Sans"/>
          <w:rtl w:val="0"/>
        </w:rPr>
        <w:t xml:space="preserve"> (10:00 AM – 12:00 PM EST): A critical window for trend continuation or final daily reversals as European desks reconcile their books.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Silver Bullet Algorithm and Evaluation Reality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Embedded deeply within these Kill Zones is the "Silver Bullet" strategy, a highly parameterized algorithmic model restricted to specific one-hour execution windows: 03:00 AM – 04:00 AM, 10:00 AM – 11:00 AM, and 02:00 PM – 03:00 PM EST.</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Each setup is mechanically engineered to deliver a highly precise 20 to 30 pip (or 5-handle) directional expansion.</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mechanics of the Silver Bullet require absolute algorithmic rigidity. Prior to the hour opening, the system maps a 7-tier liquidity priority hierarchy on the 15-minute chart, scanning for previous day highs/lows, previous session highs/lows, weekly opening gaps, and relative equal highs.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Once the hour opens, execution drops to a 1-minute or 3-minute timeframe. The explicit trigger is a Market Structure Shift (MSS) toward the target liquidity, accompanied by massive displacement that leaves an FVG in the discount/premium zone.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entry is limit-ordered exactly upon the retracement into that FVG, targeting a 1:3 risk-to-reward ratio.</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Strict, robotic adherence to the Silver Bullet checklist yields a backtested win rate between 55% and 65%.</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However, attempting to trade outside the designated 60-minute window, or executing prior to a confirmed MSS, causes an exponential decay in system expectancy.</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social media channels frequently advertise staggering 72% to 75% win rates for localized, cherry-picked samples of these models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long-term, 10-year programmatic backtests reveal a significantly more conservative reality. When filtered through the path-dependent drawdown constraints of professional prop-firm environments (such as the FTMO Phase 1 evaluation, which enforces strict daily and maximum loss limits), the survival rate of these strategies plummets.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ICT Strategy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FTMO Phase 1 Pass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Average Win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Average Risk/Reward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New York Open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 + FVG Confluence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Optimal Trade Entry (OTE)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Silver Bullet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Turtle Soup (Liquidity Sweep)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1:1.6</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6: FTMO Evaluation Path-Dependency Pass Rates for ICT Setups (10-Year Backtest).</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demonstrated by the data, a high win rate (such as Turtle Soup's 68%) does not guarantee survivability in a constrained portfolio. The Silver Bullet model, despite a 61% win rate, successfully navigated the FTMO evaluation constraints only 34% of the time, proving that raw statistical expectancy must be meticulously paired with dynamic drawdown management to survive live execution.</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Multi-Day Momentum and Institutional Accumulation Models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intraday models rely on immediate order flow imbalances and algorithmic latency, multi-day swing trading requires a deep structural understanding of institutional accumulation and supply absorption over extended temporal windows.</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Specific Entry Point Analysis (SEPA) and the VCP</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Pioneered by quantitative trader Mark Minervini, the Specific Entry Point Analysis (SEPA) framework merges aggressive fundamental acceleration criteria with incredibly strict technical price action parameters.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 cornerstone of this methodology is the Volatility Contraction Pattern (VCP), a structural footprint indicating that an asset's floating supply is being systematically absorbed by strong institutional hands.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underlying thesis of the VCP is that large institutions cannot acquire substantial, multi-million-dollar positions without leaving a measurable impact on price and volume. Therefore, they accumulate slowly on pullbacks. As weak retail holders are continuously shaken out, the severity of each subsequent pullback diminishes.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forms a distinct, fractal sequence of volatility contractions moving from left to right.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quintessential VCP setup features three to four distinct contraction phases. For example, an initial base might suffer a steep 18% drawdown. The subsequent rally and secondary pullback may only see a 12% decline. The third measures 6%, until the final contraction tightens to a microscopic 3% to 5% volatility range.</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point of maximum compression signals a total exhaustion of floating supply. The actionable "pivot point" is established at the exact resistance line of this final, tightest contraction.</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Execution of the VCP is purely mechanical: entry occurs at the exact moment the price breaches the pivot point, but strictly only if the breakout is accompanied by a volume surge of 40% to 50% above the asset's average daily volume.</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volume spike confirms that the institutional accumulation phase has officially transitioned into the aggressive markup phase.</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Furthermore, during the preceding contraction phases, trading volume must systematically dry up, confirming the total lack of selling pressure.</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8-Point Trend Template and Academic Momentum Validation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VCP is entirely invalid unless it occurs within the confines of a confirmed "Stage 2" uptrend. Minervini’s exhaustive research demonstrates that VCP patterns forming in Stage 2 environments possess three times the success rate of those forming in other market phases, with 90% of all major winning trades occurring exclusively in this environment.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environment is objectively verified using a rigid, 8-point Trend Template.</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Template Criterion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Structural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Algorithmic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50-Day SMA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Price &gt; 50 SMA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Ensures short-term momentum is actively bullish.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150-Day SMA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Price &gt; 150 SMA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Validates intermediate-term trend stability.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200-Day SMA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Price &gt; 200 SMA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Confirms overarching macro institutional support.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SMA Stacking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 &gt; 150 &gt; 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Proves shorter-term momentum is accelerating past long-term averages.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200-Day Slope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Upward for 1+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Eliminates assets in secular, long-term structural decline.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52-Week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25% of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Establishes absolute momentum; rejects cheap, mean-reversion bottom-fishing.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Relative Strength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RS Rating &gt; 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Guarantees the asset is mathematically outperforming 70% of the broader market.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 52-Week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Price &gt; 30% from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Confirms the asset has firmly rejected historical capitulation levels.</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7: The 8-Point SEPA Trend Template Criteria.</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Additionally, the SEPA methodology enforces a stringent fundamental overlay. To act as a sustained catalyst for a breakout, the asset must display accelerating quarterly earnings growth exceeding 20%, coupled with top-line revenue growth over 15%.</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verifies that profitability is driven by genuine market expansion, not artificial cost-cutting measures.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Institutional ownership should optimally range between 30% and 70%—providing enough sponsorship to drive price, but avoiding saturation levels (&gt;80%) where no marginal buyers remain to fuel the markup.</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efficacy of this momentum-based framework is heavily corroborated by decades of academic quantitative research. Landmark studies by Jegadeesh and Titman (1993) established that systematically buying past winners generates average excess returns of 1% monthly.</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Subsequent research by Moskowitz and Grinblatt (1999) on industry momentum demonstrated risk-adjusted excess returns of 1.49% monthly, proving that the technical VCP pattern is merely a visual, chart-based manifestation of the academically verified momentum factor premium.</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From a statistical standpoint, backtested results of the VCP setup showcase significant positive expectancy. Across a controlled sample of 185 trades, the pattern generated a 59.46% win rate.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 mathematical edge is generated entirely by the asymmetry of the outcomes: the average winning trade yielded massive gains of 20.05%, while the average losing trade was aggressively cut at -11.58%.</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Minervini's real-world execution of this architecture resulted in a 155% return during the 1997 US Investing Championship, and an astounding 220% average annual return over a verified five-year period (1994-2000).</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execute this, risk architecture mathematically forbids catastrophic drawdowns. A hard stop-loss is rigidly placed 7% to 8% below the execution price, and total portfolio risk is capped at 1% to 2% per trade.</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Position sizing is dynamically calculated backwards using the formula:</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119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1193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refusing to widen stops, avoiding early entries before volume confirmation, and cutting losses mercilessly at 7%, the system mathematically forces a high profit factor, regardless of minor fluctuations in the underlying win rate.</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 EMA Pullback and the 5-3-1 Constraint Framework</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quantitative traders operating in highly liquid forex or large-cap equity markets who find the VCP's multi-week accumulation formation too slow, the 20 Exponential Moving Average (EMA) pullback serves as a faster, trend-continuation alternative. Like the SEPA framework, it requires a confirmed macro uptrend (price operating above the 50-day and 200-day moving averages).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mechanical preconditions dictate that the Relative Strength Index (RSI) must remain neutrally bounded between 35 and 50 during the pullback—indicating a natural cooling of momentum without crossing into structural oversold territory that might trigger a catastrophic trend reversal.</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Volume must demonstrably decline as the price retraces.</w:t>
      </w:r>
      <w:r w:rsidDel="00000000" w:rsidR="00000000" w:rsidRPr="00000000">
        <w:rPr>
          <w:rFonts w:ascii="Google Sans" w:cs="Google Sans" w:eastAsia="Google Sans" w:hAnsi="Google Sans"/>
          <w:sz w:val="24"/>
          <w:szCs w:val="24"/>
          <w:vertAlign w:val="superscript"/>
          <w:rtl w:val="0"/>
        </w:rPr>
        <w:t xml:space="preserve">29</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Pullback Setup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Mechanical Trigger / Metric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Market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Price &gt; 50 &amp; 200 SMA; RSI between 35 and 50; Declining pullback 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 Trigger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Price physically tags the 20 EMA; forms bullish engulfing/hammer candle; enter on next open.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Risk Definition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 stop placed 1.5 ATR (Average True Range) below entry low; maximum 1% account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Target 1: 50% liquidation at prior swing high. Target 2: 25% liquidation at 2R. Final 25% trailed via 10 EMA.</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8: Structural Execution Mechanics of the 20 EMA Pullback Setup.</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rigorous GitHub backtest of similar EMA pullback logic across 175 trades generated a highly stable 55.43% win rate, producing a stellar 1.64 profit factor and an 0.892 Sharpe ratio, netting a 44.75% total return.</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However, strategy designers note a distinct internal tension in pullback models: waiting for a clean EMA crossover prevents large losses via ATR trailing stops, but it often forces the algorithm to enter moves that have already initiated, occasionally failing to catch the broader continuation.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A strategy possessing an asymmetric 1.55% win versus a 0.99% loss requires a win rate above 40% to maintain positive mathematical expectancy; poorly optimized EMA models often fail to meet this threshold, yielding win rates as low as 28%.</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system degradation from overtrading and optimization fatigue, institutional frameworks often recommend boxing this strategy within the psychological "5-3-1 Rule".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constraint structurally limits the trader to 5 highly liquid instruments (eliminating spread slippage and low-volume manipulation), 3 specific mechanical strategies (e.g., breakouts, 20 EMA pullbacks, and VWAP bounces), and 1 strictly defined execution session (e.g., the New York morning window, 09:15–11:30 AM).</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compartmentalization radically reduces cognitive load, prevents strategy overfitting, and mitigates the psychological deterioration that leads to negative-expectancy revenge trading outside of optimal statistical environments.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 Arbitrage and Market-Neutral Yield Generation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absolute apex of quantitative trading transitions entirely away from directional price prediction (alpha generation via forecasting) and moves toward exploiting structural market inefficiencies. The most prominent contemporary example of this is Cryptocurrency Funding Rate Arbitrage, a purely delta-neutral framework engineered to harvest yields with near-zero directional price risk.</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Cryptocurrency Perpetual Futures Dynamics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Unlike traditional futures contracts that possess fixed expiration dates, cryptocurrency "perpetual" futures (perps) never expire, allowing traders to hold leveraged positions indefinitely.</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To prevent the price of the perpetual contract from decoupling drastically from the underlying spot market index, exchanges enforce a continuous Funding Rate mechanism.</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Every 8 hours (or continuously on some decentralized protocols), a fee is exchanged directly between long and short position holders.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market sentiment is overwhelmingly bullish, perpetual contract prices trade at a premium to spot prices. Consequently, the funding rate becomes positive, meaning traders holding long positions must pay a substantial fee to traders holding short positions to maintain equilibrium.</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When sentiment collapses into a bearish regime, the rate turns negative, and shorts pay longs.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Executing the Delta-Neutral Hedge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Funding rate arbitrage exploits this structural dynamic by establishing a perfectly hedged, delta-neutral portfolio.</w:t>
      </w:r>
      <w:r w:rsidDel="00000000" w:rsidR="00000000" w:rsidRPr="00000000">
        <w:rPr>
          <w:rFonts w:ascii="Google Sans" w:cs="Google Sans" w:eastAsia="Google Sans" w:hAnsi="Google Sans"/>
          <w:sz w:val="24"/>
          <w:szCs w:val="24"/>
          <w:vertAlign w:val="superscript"/>
          <w:rtl w:val="0"/>
        </w:rPr>
        <w:t xml:space="preserve">33</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Market Condition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Spot Leg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Perpetual Leg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Net Delta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Yield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Bullish (Funding &gt; 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Buy Spot Asset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Short Perpetual 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22684" cy="22808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2684" cy="22808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Collect fees from over-leveraged Longs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Bearish (Funding &lt; -0.03%)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Short Spot Asset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Buy Perpetual 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22684" cy="2280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2684" cy="22808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Collect fees from over-leveraged Shorts</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9: Delta-Neutral Execution Matrix for Perpetual Funding Arbitrage.</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the algorithmic trader is both long and short equal dollar amounts of the exact same underlying asset, the portfolio's net delta is completely neutralized. If the price of Bitcoin instantaneously crashes 20%, the spot position loses 20% of its value, but the short perpetual position simultaneously gains 20%. The directional price movement cancels out entirely.</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Despite holding zero price risk, the short perpetual position continuously collects the positive funding fee paid by the retail longs.</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quantitative efficacy of this strategy is heavily validated by rigorous academic and institutional data. A peer-reviewed 2025 study analyzed 60 distinct funding rate arbitrage scenarios across both Centralized Exchanges (Binance, BitMEX) and Decentralized Exchanges (ApolloX, Drift) using high-fidelity minute-level market data.</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Testing highly liquid assets like BTC, ETH, XRP, BNB, and SOL, the strategy yielded massive, risk-adjusted returns of up to 115.9% over a six-month period.</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More impressively, because the core position remains delta-neutral, maximum portfolio drawdowns were strictly capped at a negligible 1.92%.</w:t>
      </w:r>
      <w:r w:rsidDel="00000000" w:rsidR="00000000" w:rsidRPr="00000000">
        <w:rPr>
          <w:rFonts w:ascii="Google Sans" w:cs="Google Sans" w:eastAsia="Google Sans" w:hAnsi="Google Sans"/>
          <w:sz w:val="24"/>
          <w:szCs w:val="24"/>
          <w:vertAlign w:val="superscript"/>
          <w:rtl w:val="0"/>
        </w:rPr>
        <w:t xml:space="preserve">33</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Portfolio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Average Return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Maximum Drawdown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Risk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Directional Crypto Funds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Exposed to systemic volatility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Delta-Neutral Arb Funds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Insulated from market direction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Maximized Funding Arb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+115.9% (6-Mo)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yield via structural inefficiency</w:t>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Table 10: Comparative Risk Analytics: High Win-Rate Portfolios vs Market Averages.</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mathematically immune to broad price direction, funding rate arbitrage is not entirely devoid of risk. The primary vulnerability is latency-based execution risk.</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If a trader manually executes the spot purchase, but the price surges before they can manually execute the perpetual short, they are temporarily exposed to naked directional risk. Therefore, this strategy cannot be traded effectively via manual inputs. It strictly requires sophisticated algorithmic deployment via API webhooks connected directly to institutional data providers like Amberdata, allowing for the simultaneous millisecond execution of both the spot and perpetual legs.</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secondary risk involves leverage limits and liquidation wicks. While the net position is perfectly hedged, the perpetual short leg is subject to the exchange's independent margin requirements.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If the asset experiences a violent, instantaneous upward spike (a "wick"), the short position could be liquidated by the exchange's risk engine before the spot leg can be liquidated to cover the margin.</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Quantitative models completely mitigate this sequence risk by strictly capping leverage at 3x to 5x on the short leg and maintaining deep margin buffers in the collateral account.</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comprehensive empirical evaluation of popular trading methodologies reveals a stark, mathematical divide between theoretical appeal and statistical reality. Generalized, unparameterized setups—such as simple opening range breakouts relying on arbitrary 30-minute timeframes, or standard Bollinger Band mean-reversions—possess no inherent edge in modern financial ecosystems. Their alpha has been systematically eroded by high-frequency market making and the collective predictability of retail order flow. When exposed to shifting volatility regimes, these simplistic models suffer catastrophic, negative-expectancy drawdowns.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Conversely, robust, positive expectancy is discovered exclusively in models that rigorously respect market microstructure, institutional order routing, and mathematical asymmetry. For intraday models, statistical viability requires extreme temporal precision, favoring strictly localized 5-minute ORB thresholds on specific indices, or algorithmically defined 1-hour execution windows (such as the ICT Silver Bullet) anchored by higher-timeframe order flow biases. For multi-day momentum, Mark Minervini's Volatility Contraction Pattern (VCP) proves that mathematical risk asymmetry—capping losses strictly at 7% while capturing 20% systemic expansions—can engineer long-term, market-beating outperformance that directly mirrors academically verified momentum factors.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 data establishes a paradigm shift regarding the interpretation of market liquidity. Structural anomalies like Fair Value Gaps must be mathematically viewed as defensive institutional strongholds rather than inevitable vacuum targets. Ultimately, the highest Sharpe and Sortino ratios in the contemporary landscape are achieved not by guessing directional price expansion, but by harvesting structural market inefficiencies, exemplified by the delta-neutral compounding of cryptocurrency funding rate arbitrage. Alpha is no longer derived from visually identifying a pattern on a chart, but from the rigorous mathematical parameterization of risk, timeframe, and institutional order flow.</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Opening Range Breakout Strategy (ORB): Backtest - QuantifiedStrategies.com, accessed June 14, 2026, </w:t>
      </w:r>
      <w:hyperlink r:id="rId8">
        <w:r w:rsidDel="00000000" w:rsidR="00000000" w:rsidRPr="00000000">
          <w:rPr>
            <w:rFonts w:ascii="Google Sans" w:cs="Google Sans" w:eastAsia="Google Sans" w:hAnsi="Google Sans"/>
            <w:color w:val="0000ee"/>
            <w:sz w:val="24"/>
            <w:szCs w:val="24"/>
            <w:u w:val="single"/>
            <w:rtl w:val="0"/>
          </w:rPr>
          <w:t xml:space="preserve">https://www.quantifiedstrategies.com/opening-range-breakout-strategy/</w:t>
        </w:r>
      </w:hyperlink>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Backtested 1,178,668 Opening Range Breakout Trades. Here's the Data. - YouTube, accessed June 14,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https://www.youtube.com/watch?v=MOG-DbgmzzI</w:t>
        </w:r>
      </w:hyperlink>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minute opening range breakout on ES: 108% return in 6 months ..., accessed June 14, 2026, </w:t>
      </w:r>
      <w:hyperlink r:id="rId10">
        <w:r w:rsidDel="00000000" w:rsidR="00000000" w:rsidRPr="00000000">
          <w:rPr>
            <w:rFonts w:ascii="Google Sans" w:cs="Google Sans" w:eastAsia="Google Sans" w:hAnsi="Google Sans"/>
            <w:color w:val="0000ee"/>
            <w:sz w:val="24"/>
            <w:szCs w:val="24"/>
            <w:u w:val="single"/>
            <w:rtl w:val="0"/>
          </w:rPr>
          <w:t xml:space="preserve">https://www.edgeful.com/blog/posts/5-minute-opening-range-breakout-es-strategy</w:t>
        </w:r>
      </w:hyperlink>
      <w:r w:rsidDel="00000000" w:rsidR="00000000" w:rsidRPr="00000000">
        <w:rPr>
          <w:rtl w:val="0"/>
        </w:rPr>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Taking 100 Trades with Bollinger Bands + RSI Trading Strategy - Trading Rush, accessed June 14, 2026, </w:t>
      </w:r>
      <w:hyperlink r:id="rId11">
        <w:r w:rsidDel="00000000" w:rsidR="00000000" w:rsidRPr="00000000">
          <w:rPr>
            <w:rFonts w:ascii="Google Sans" w:cs="Google Sans" w:eastAsia="Google Sans" w:hAnsi="Google Sans"/>
            <w:color w:val="0000ee"/>
            <w:sz w:val="24"/>
            <w:szCs w:val="24"/>
            <w:u w:val="single"/>
            <w:rtl w:val="0"/>
          </w:rPr>
          <w:t xml:space="preserve">https://tradingrush.net/bollinger-bands-rsi-trading-strategy-tested-100-times-will-this-make-profit-for-you/</w:t>
        </w:r>
      </w:hyperlink>
      <w:r w:rsidDel="00000000" w:rsidR="00000000" w:rsidRPr="00000000">
        <w:rPr>
          <w:rtl w:val="0"/>
        </w:rPr>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Backtested RSI + Bollinger Bands strategy across ALL markets &amp; timeframes for 1 year : r/Daytrading - Reddit, accessed June 14, 2026, </w:t>
      </w:r>
      <w:hyperlink r:id="rId12">
        <w:r w:rsidDel="00000000" w:rsidR="00000000" w:rsidRPr="00000000">
          <w:rPr>
            <w:rFonts w:ascii="Google Sans" w:cs="Google Sans" w:eastAsia="Google Sans" w:hAnsi="Google Sans"/>
            <w:color w:val="0000ee"/>
            <w:sz w:val="24"/>
            <w:szCs w:val="24"/>
            <w:u w:val="single"/>
            <w:rtl w:val="0"/>
          </w:rPr>
          <w:t xml:space="preserve">https://www.reddit.com/r/Daytrading/comments/1pt0eas/backtested_rsi_bollinger_bands_strategy_across/</w:t>
        </w:r>
      </w:hyperlink>
      <w:r w:rsidDel="00000000" w:rsidR="00000000" w:rsidRPr="00000000">
        <w:rPr>
          <w:rtl w:val="0"/>
        </w:rPr>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Bollinger Bounce Strategy - Algohubb, accessed June 14, 2026, </w:t>
      </w:r>
      <w:hyperlink r:id="rId13">
        <w:r w:rsidDel="00000000" w:rsidR="00000000" w:rsidRPr="00000000">
          <w:rPr>
            <w:rFonts w:ascii="Google Sans" w:cs="Google Sans" w:eastAsia="Google Sans" w:hAnsi="Google Sans"/>
            <w:color w:val="0000ee"/>
            <w:sz w:val="24"/>
            <w:szCs w:val="24"/>
            <w:u w:val="single"/>
            <w:rtl w:val="0"/>
          </w:rPr>
          <w:t xml:space="preserve">https://www.algohubb.com/strategies/bollinger-bounce</w:t>
        </w:r>
      </w:hyperlink>
      <w:r w:rsidDel="00000000" w:rsidR="00000000" w:rsidRPr="00000000">
        <w:rPr>
          <w:rtl w:val="0"/>
        </w:rPr>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RSI 2 Strategy: Complete Guide To Larry Connors' 2‑Period RSI ..., accessed June 14, 2026, </w:t>
      </w:r>
      <w:hyperlink r:id="rId14">
        <w:r w:rsidDel="00000000" w:rsidR="00000000" w:rsidRPr="00000000">
          <w:rPr>
            <w:rFonts w:ascii="Google Sans" w:cs="Google Sans" w:eastAsia="Google Sans" w:hAnsi="Google Sans"/>
            <w:color w:val="0000ee"/>
            <w:sz w:val="24"/>
            <w:szCs w:val="24"/>
            <w:u w:val="single"/>
            <w:rtl w:val="0"/>
          </w:rPr>
          <w:t xml:space="preserve">https://www.quantifiedstrategies.com/rsi-2-strategy/</w:t>
        </w:r>
      </w:hyperlink>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Larry Connors' RSI2: A 20-Year Portfolio Backtest using Historical Constituents - Reddit, accessed June 14, 2026, </w:t>
      </w:r>
      <w:hyperlink r:id="rId15">
        <w:r w:rsidDel="00000000" w:rsidR="00000000" w:rsidRPr="00000000">
          <w:rPr>
            <w:rFonts w:ascii="Google Sans" w:cs="Google Sans" w:eastAsia="Google Sans" w:hAnsi="Google Sans"/>
            <w:color w:val="0000ee"/>
            <w:sz w:val="24"/>
            <w:szCs w:val="24"/>
            <w:u w:val="single"/>
            <w:rtl w:val="0"/>
          </w:rPr>
          <w:t xml:space="preserve">https://www.reddit.com/r/Trading/comments/1pxzthn/larry_connors_rsi2_a_20year_portfolio_backtest/</w:t>
        </w:r>
      </w:hyperlink>
      <w:r w:rsidDel="00000000" w:rsidR="00000000" w:rsidRPr="00000000">
        <w:rPr>
          <w:rtl w:val="0"/>
        </w:rPr>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 Results for Connors RSI2 Strategy : r/algotrading - Reddit, accessed June 14, 2026, </w:t>
      </w:r>
      <w:hyperlink r:id="rId16">
        <w:r w:rsidDel="00000000" w:rsidR="00000000" w:rsidRPr="00000000">
          <w:rPr>
            <w:rFonts w:ascii="Google Sans" w:cs="Google Sans" w:eastAsia="Google Sans" w:hAnsi="Google Sans"/>
            <w:color w:val="0000ee"/>
            <w:sz w:val="24"/>
            <w:szCs w:val="24"/>
            <w:u w:val="single"/>
            <w:rtl w:val="0"/>
          </w:rPr>
          <w:t xml:space="preserve">https://www.reddit.com/r/algotrading/comments/1fm5lfj/backtest_results_for_connors_rsi2_strategy/</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Trade Liquidity Sweep Reversals (15-Minute Strategy), accessed June 14, 2026, </w:t>
      </w:r>
      <w:hyperlink r:id="rId17">
        <w:r w:rsidDel="00000000" w:rsidR="00000000" w:rsidRPr="00000000">
          <w:rPr>
            <w:rFonts w:ascii="Google Sans" w:cs="Google Sans" w:eastAsia="Google Sans" w:hAnsi="Google Sans"/>
            <w:color w:val="0000ee"/>
            <w:sz w:val="24"/>
            <w:szCs w:val="24"/>
            <w:u w:val="single"/>
            <w:rtl w:val="0"/>
          </w:rPr>
          <w:t xml:space="preserve">https://dailypriceaction.com/blog/liquidity-sweep-reversals/</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Win Rate ICT Liquidity Sweep Strategy (+1 Hour Backtesting) - YouTube, accessed June 14,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https://www.youtube.com/watch?v=xzSFYcgKiao</w:t>
        </w:r>
      </w:hyperlink>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Liquidity Sweeps Like a Pro | Entry and Exit strategies, accessed June 14, 2026, </w:t>
      </w:r>
      <w:hyperlink r:id="rId19">
        <w:r w:rsidDel="00000000" w:rsidR="00000000" w:rsidRPr="00000000">
          <w:rPr>
            <w:rFonts w:ascii="Google Sans" w:cs="Google Sans" w:eastAsia="Google Sans" w:hAnsi="Google Sans"/>
            <w:color w:val="0000ee"/>
            <w:sz w:val="24"/>
            <w:szCs w:val="24"/>
            <w:u w:val="single"/>
            <w:rtl w:val="0"/>
          </w:rPr>
          <w:t xml:space="preserve">https://internationaltradinginstitute.com/blog/liquidity-sweeps-entry-exit-strategies/</w:t>
        </w:r>
      </w:hyperlink>
      <w:r w:rsidDel="00000000" w:rsidR="00000000" w:rsidRPr="00000000">
        <w:rPr>
          <w:rtl w:val="0"/>
        </w:rPr>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4H Liquidity Sweep Strategy - 75% Win Rate - YouTube, accessed June 14, 2026, </w:t>
      </w:r>
      <w:hyperlink r:id="rId20">
        <w:r w:rsidDel="00000000" w:rsidR="00000000" w:rsidRPr="00000000">
          <w:rPr>
            <w:rFonts w:ascii="Google Sans" w:cs="Google Sans" w:eastAsia="Google Sans" w:hAnsi="Google Sans"/>
            <w:color w:val="0000ee"/>
            <w:sz w:val="24"/>
            <w:szCs w:val="24"/>
            <w:u w:val="single"/>
            <w:rtl w:val="0"/>
          </w:rPr>
          <w:t xml:space="preserve">https://www.youtube.com/watch?v=4cK3weGxZeA</w:t>
        </w:r>
      </w:hyperlink>
      <w:r w:rsidDel="00000000" w:rsidR="00000000" w:rsidRPr="00000000">
        <w:rPr>
          <w:rtl w:val="0"/>
        </w:rPr>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Backtested 16000 retail trading strategies… how do you avoid fooling yourself? - Reddit, accessed June 14, 2026, </w:t>
      </w:r>
      <w:hyperlink r:id="rId21">
        <w:r w:rsidDel="00000000" w:rsidR="00000000" w:rsidRPr="00000000">
          <w:rPr>
            <w:rFonts w:ascii="Google Sans" w:cs="Google Sans" w:eastAsia="Google Sans" w:hAnsi="Google Sans"/>
            <w:color w:val="0000ee"/>
            <w:sz w:val="24"/>
            <w:szCs w:val="24"/>
            <w:u w:val="single"/>
            <w:rtl w:val="0"/>
          </w:rPr>
          <w:t xml:space="preserve">https://www.reddit.com/r/algotrading/comments/1q5op3l/backtested_16000_retail_trading_strategies_how_do/</w:t>
        </w:r>
      </w:hyperlink>
      <w:r w:rsidDel="00000000" w:rsidR="00000000" w:rsidRPr="00000000">
        <w:rPr>
          <w:rtl w:val="0"/>
        </w:rPr>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Value Gap Trading Strategy | TrendSpider Learning Center, accessed June 14, 2026, </w:t>
      </w:r>
      <w:hyperlink r:id="rId22">
        <w:r w:rsidDel="00000000" w:rsidR="00000000" w:rsidRPr="00000000">
          <w:rPr>
            <w:rFonts w:ascii="Google Sans" w:cs="Google Sans" w:eastAsia="Google Sans" w:hAnsi="Google Sans"/>
            <w:color w:val="0000ee"/>
            <w:sz w:val="24"/>
            <w:szCs w:val="24"/>
            <w:u w:val="single"/>
            <w:rtl w:val="0"/>
          </w:rPr>
          <w:t xml:space="preserve">https://trendspider.com/learning-center/fair-value-gap-trading-strategy/</w:t>
        </w:r>
      </w:hyperlink>
      <w:r w:rsidDel="00000000" w:rsidR="00000000" w:rsidRPr="00000000">
        <w:rPr>
          <w:rtl w:val="0"/>
        </w:rPr>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value gap: how to trade FVGs with 60%+ win rates using real ..., accessed June 14, 2026, </w:t>
      </w:r>
      <w:hyperlink r:id="rId23">
        <w:r w:rsidDel="00000000" w:rsidR="00000000" w:rsidRPr="00000000">
          <w:rPr>
            <w:rFonts w:ascii="Google Sans" w:cs="Google Sans" w:eastAsia="Google Sans" w:hAnsi="Google Sans"/>
            <w:color w:val="0000ee"/>
            <w:sz w:val="24"/>
            <w:szCs w:val="24"/>
            <w:u w:val="single"/>
            <w:rtl w:val="0"/>
          </w:rPr>
          <w:t xml:space="preserve">https://www.edgeful.com/blog/posts/fair-value-gap-best-practices-guide</w:t>
        </w:r>
      </w:hyperlink>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Value Gap Trading: Complete Guide for Prop Firms [2026] - Phidias Propfirm, accessed June 14, 2026, </w:t>
      </w:r>
      <w:hyperlink r:id="rId24">
        <w:r w:rsidDel="00000000" w:rsidR="00000000" w:rsidRPr="00000000">
          <w:rPr>
            <w:rFonts w:ascii="Google Sans" w:cs="Google Sans" w:eastAsia="Google Sans" w:hAnsi="Google Sans"/>
            <w:color w:val="0000ee"/>
            <w:sz w:val="24"/>
            <w:szCs w:val="24"/>
            <w:u w:val="single"/>
            <w:rtl w:val="0"/>
          </w:rPr>
          <w:t xml:space="preserve">https://phidiaspropfirm.com/education/fair-value-gap</w:t>
        </w:r>
      </w:hyperlink>
      <w:r w:rsidDel="00000000" w:rsidR="00000000" w:rsidRPr="00000000">
        <w:rPr>
          <w:rtl w:val="0"/>
        </w:rPr>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backtested Fair Value Gaps, here's what I found : r/Trading - Reddit, accessed June 14, 2026, </w:t>
      </w:r>
      <w:hyperlink r:id="rId25">
        <w:r w:rsidDel="00000000" w:rsidR="00000000" w:rsidRPr="00000000">
          <w:rPr>
            <w:rFonts w:ascii="Google Sans" w:cs="Google Sans" w:eastAsia="Google Sans" w:hAnsi="Google Sans"/>
            <w:color w:val="0000ee"/>
            <w:sz w:val="24"/>
            <w:szCs w:val="24"/>
            <w:u w:val="single"/>
            <w:rtl w:val="0"/>
          </w:rPr>
          <w:t xml:space="preserve">https://www.reddit.com/r/Trading/comments/1qmr3na/i_backtested_fair_value_gaps_heres_what_i_found/</w:t>
        </w:r>
      </w:hyperlink>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Studying the Effectiveness of Qi's Fair Value Gap as a Trading Signal for the Euro Stoxx 600 - Euronext, accessed June 14, 2026, </w:t>
      </w:r>
      <w:hyperlink r:id="rId26">
        <w:r w:rsidDel="00000000" w:rsidR="00000000" w:rsidRPr="00000000">
          <w:rPr>
            <w:rFonts w:ascii="Google Sans" w:cs="Google Sans" w:eastAsia="Google Sans" w:hAnsi="Google Sans"/>
            <w:color w:val="0000ee"/>
            <w:sz w:val="24"/>
            <w:szCs w:val="24"/>
            <w:u w:val="single"/>
            <w:rtl w:val="0"/>
          </w:rPr>
          <w:t xml:space="preserve">https://www.euronext.com/sites/default/files/2019-04/Qi%20Euro%20Stoxx%20600%20White%20Paper.pdf</w:t>
        </w:r>
      </w:hyperlink>
      <w:r w:rsidDel="00000000" w:rsidR="00000000" w:rsidRPr="00000000">
        <w:rPr>
          <w:rtl w:val="0"/>
        </w:rPr>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ICT Silver Bullet Strategy — Times, Setup &amp; Free PDF (2026), accessed June 14, 2026, </w:t>
      </w:r>
      <w:hyperlink r:id="rId27">
        <w:r w:rsidDel="00000000" w:rsidR="00000000" w:rsidRPr="00000000">
          <w:rPr>
            <w:rFonts w:ascii="Google Sans" w:cs="Google Sans" w:eastAsia="Google Sans" w:hAnsi="Google Sans"/>
            <w:color w:val="0000ee"/>
            <w:sz w:val="24"/>
            <w:szCs w:val="24"/>
            <w:u w:val="single"/>
            <w:rtl w:val="0"/>
          </w:rPr>
          <w:t xml:space="preserve">https://innercircletrader.net/tutorials/ict-silver-bullet-strategy/</w:t>
        </w:r>
      </w:hyperlink>
      <w:r w:rsidDel="00000000" w:rsidR="00000000" w:rsidRPr="00000000">
        <w:rPr>
          <w:rtl w:val="0"/>
        </w:rPr>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ICT Silver Bullet Strategy Backtested with a 90% Winrate - 30 min - YouTube, accessed June 14,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https://www.youtube.com/watch?v=Sjv9_tUdUkY</w:t>
        </w:r>
      </w:hyperlink>
      <w:r w:rsidDel="00000000" w:rsidR="00000000" w:rsidRPr="00000000">
        <w:rPr>
          <w:rtl w:val="0"/>
        </w:rPr>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ICT Silver Bullet Strategy: 33% ROI in 14 Days! [Backtesting] - YouTube, accessed June 14,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https://www.youtube.com/watch?v=POyd5Quw0WY</w:t>
        </w:r>
      </w:hyperlink>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backtested 7 ICT setups for 10 years. Silver Bullet lost 46% of capital : r/Forex - Reddit, accessed June 14, 2026, </w:t>
      </w:r>
      <w:hyperlink r:id="rId30">
        <w:r w:rsidDel="00000000" w:rsidR="00000000" w:rsidRPr="00000000">
          <w:rPr>
            <w:rFonts w:ascii="Google Sans" w:cs="Google Sans" w:eastAsia="Google Sans" w:hAnsi="Google Sans"/>
            <w:color w:val="0000ee"/>
            <w:sz w:val="24"/>
            <w:szCs w:val="24"/>
            <w:u w:val="single"/>
            <w:rtl w:val="0"/>
          </w:rPr>
          <w:t xml:space="preserve">https://www.reddit.com/r/Forex/comments/1sgw3g4/backtested_7_ict_setups_for_10_years_silver/</w:t>
        </w:r>
      </w:hyperlink>
      <w:r w:rsidDel="00000000" w:rsidR="00000000" w:rsidRPr="00000000">
        <w:rPr>
          <w:rtl w:val="0"/>
        </w:rPr>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 Minervini Trading Strategy: The Complete SEPA &amp; VCP Guide ..., accessed June 14, 2026, </w:t>
      </w:r>
      <w:hyperlink r:id="rId31">
        <w:r w:rsidDel="00000000" w:rsidR="00000000" w:rsidRPr="00000000">
          <w:rPr>
            <w:rFonts w:ascii="Google Sans" w:cs="Google Sans" w:eastAsia="Google Sans" w:hAnsi="Google Sans"/>
            <w:color w:val="0000ee"/>
            <w:sz w:val="24"/>
            <w:szCs w:val="24"/>
            <w:u w:val="single"/>
            <w:rtl w:val="0"/>
          </w:rPr>
          <w:t xml:space="preserve">https://www.finermarketpoints.com/post/what-is-mark-minervini-s-trading-strategy-the-complete-sepa-vcp-guide</w:t>
        </w:r>
      </w:hyperlink>
      <w:r w:rsidDel="00000000" w:rsidR="00000000" w:rsidRPr="00000000">
        <w:rPr>
          <w:rtl w:val="0"/>
        </w:rPr>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Volatility Contraction Pattern - TraderLion, accessed June 14, 2026, </w:t>
      </w:r>
      <w:hyperlink r:id="rId32">
        <w:r w:rsidDel="00000000" w:rsidR="00000000" w:rsidRPr="00000000">
          <w:rPr>
            <w:rFonts w:ascii="Google Sans" w:cs="Google Sans" w:eastAsia="Google Sans" w:hAnsi="Google Sans"/>
            <w:color w:val="0000ee"/>
            <w:sz w:val="24"/>
            <w:szCs w:val="24"/>
            <w:u w:val="single"/>
            <w:rtl w:val="0"/>
          </w:rPr>
          <w:t xml:space="preserve">https://traderlion.com/technical-analysis/volatility-contraction-pattern/</w:t>
        </w:r>
      </w:hyperlink>
      <w:r w:rsidDel="00000000" w:rsidR="00000000" w:rsidRPr="00000000">
        <w:rPr>
          <w:rtl w:val="0"/>
        </w:rPr>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Volatility Contraction Pattern (VCP): Complete Guide — Mark Minervini - Finer Market Points, accessed June 14, 2026, </w:t>
      </w:r>
      <w:hyperlink r:id="rId33">
        <w:r w:rsidDel="00000000" w:rsidR="00000000" w:rsidRPr="00000000">
          <w:rPr>
            <w:rFonts w:ascii="Google Sans" w:cs="Google Sans" w:eastAsia="Google Sans" w:hAnsi="Google Sans"/>
            <w:color w:val="0000ee"/>
            <w:sz w:val="24"/>
            <w:szCs w:val="24"/>
            <w:u w:val="single"/>
            <w:rtl w:val="0"/>
          </w:rPr>
          <w:t xml:space="preserve">https://www.finermarketpoints.com/post/what-is-a-vcp-pattern-mark-minervini-s-volatility-contraction-pattern-explained</w:t>
        </w:r>
      </w:hyperlink>
      <w:r w:rsidDel="00000000" w:rsidR="00000000" w:rsidRPr="00000000">
        <w:rPr>
          <w:rtl w:val="0"/>
        </w:rPr>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VCP Pattern Explained | Volatility Contraction Pattern &amp; How to Trade - TrendSpider, accessed June 14, 2026, </w:t>
      </w:r>
      <w:hyperlink r:id="rId34">
        <w:r w:rsidDel="00000000" w:rsidR="00000000" w:rsidRPr="00000000">
          <w:rPr>
            <w:rFonts w:ascii="Google Sans" w:cs="Google Sans" w:eastAsia="Google Sans" w:hAnsi="Google Sans"/>
            <w:color w:val="0000ee"/>
            <w:sz w:val="24"/>
            <w:szCs w:val="24"/>
            <w:u w:val="single"/>
            <w:rtl w:val="0"/>
          </w:rPr>
          <w:t xml:space="preserve">https://trendspider.com/learning-center/volatility-contraction-pattern-vcp/</w:t>
        </w:r>
      </w:hyperlink>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Volatility Contraction Pattern (VCP): A Rule-Based Screener Built for ..., accessed June 14, 2026, </w:t>
      </w:r>
      <w:hyperlink r:id="rId35">
        <w:r w:rsidDel="00000000" w:rsidR="00000000" w:rsidRPr="00000000">
          <w:rPr>
            <w:rFonts w:ascii="Google Sans" w:cs="Google Sans" w:eastAsia="Google Sans" w:hAnsi="Google Sans"/>
            <w:color w:val="0000ee"/>
            <w:sz w:val="24"/>
            <w:szCs w:val="24"/>
            <w:u w:val="single"/>
            <w:rtl w:val="0"/>
          </w:rPr>
          <w:t xml:space="preserve">https://sharpely.in/blog/volatility-contraction-pattern-(vcp):-a-rule-based-screener-built-for-high-quality-breakouts</w:t>
        </w:r>
      </w:hyperlink>
      <w:r w:rsidDel="00000000" w:rsidR="00000000" w:rsidRPr="00000000">
        <w:rPr>
          <w:rtl w:val="0"/>
        </w:rPr>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Trade Setup? Definition &amp; Examples - JournalPlus, accessed June 14, 2026, </w:t>
      </w:r>
      <w:hyperlink r:id="rId36">
        <w:r w:rsidDel="00000000" w:rsidR="00000000" w:rsidRPr="00000000">
          <w:rPr>
            <w:rFonts w:ascii="Google Sans" w:cs="Google Sans" w:eastAsia="Google Sans" w:hAnsi="Google Sans"/>
            <w:color w:val="0000ee"/>
            <w:sz w:val="24"/>
            <w:szCs w:val="24"/>
            <w:u w:val="single"/>
            <w:rtl w:val="0"/>
          </w:rPr>
          <w:t xml:space="preserve">https://journalplus.co/learn/glossary/setup</w:t>
        </w:r>
      </w:hyperlink>
      <w:r w:rsidDel="00000000" w:rsidR="00000000" w:rsidRPr="00000000">
        <w:rPr>
          <w:rtl w:val="0"/>
        </w:rPr>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ilahuerta-IA/backtrader-pullback-window-xauusd: Professional algorithmic trading strategy for Gold (XAU/USD) with 4-phase state machine entry system. Sharpe 0.89 - GitHub, accessed June 14, 2026, </w:t>
      </w:r>
      <w:hyperlink r:id="rId37">
        <w:r w:rsidDel="00000000" w:rsidR="00000000" w:rsidRPr="00000000">
          <w:rPr>
            <w:rFonts w:ascii="Google Sans" w:cs="Google Sans" w:eastAsia="Google Sans" w:hAnsi="Google Sans"/>
            <w:color w:val="0000ee"/>
            <w:sz w:val="24"/>
            <w:szCs w:val="24"/>
            <w:u w:val="single"/>
            <w:rtl w:val="0"/>
          </w:rPr>
          <w:t xml:space="preserve">https://github.com/ilahuerta-IA/backtrader-pullback-window-xauusd</w:t>
        </w:r>
      </w:hyperlink>
      <w:r w:rsidDel="00000000" w:rsidR="00000000" w:rsidRPr="00000000">
        <w:rPr>
          <w:rtl w:val="0"/>
        </w:rPr>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Fixed the Biggest Flaw in My Last Backtest. The Strategy Still Lost Money. - Medium, accessed June 14, 2026, </w:t>
      </w:r>
      <w:hyperlink r:id="rId38">
        <w:r w:rsidDel="00000000" w:rsidR="00000000" w:rsidRPr="00000000">
          <w:rPr>
            <w:rFonts w:ascii="Google Sans" w:cs="Google Sans" w:eastAsia="Google Sans" w:hAnsi="Google Sans"/>
            <w:color w:val="0000ee"/>
            <w:sz w:val="24"/>
            <w:szCs w:val="24"/>
            <w:u w:val="single"/>
            <w:rtl w:val="0"/>
          </w:rPr>
          <w:t xml:space="preserve">https://medium.com/@betashorts1998/i-fixed-the-biggest-flaw-in-my-last-backtest-the-strategy-still-lost-money-64022a65e370</w:t>
        </w:r>
      </w:hyperlink>
      <w:r w:rsidDel="00000000" w:rsidR="00000000" w:rsidRPr="00000000">
        <w:rPr>
          <w:rtl w:val="0"/>
        </w:rPr>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5-3-1 Trading Strategy - Rules and Benefits - Bajaj Broking, accessed June 14, 2026, </w:t>
      </w:r>
      <w:hyperlink r:id="rId39">
        <w:r w:rsidDel="00000000" w:rsidR="00000000" w:rsidRPr="00000000">
          <w:rPr>
            <w:rFonts w:ascii="Google Sans" w:cs="Google Sans" w:eastAsia="Google Sans" w:hAnsi="Google Sans"/>
            <w:color w:val="0000ee"/>
            <w:sz w:val="24"/>
            <w:szCs w:val="24"/>
            <w:u w:val="single"/>
            <w:rtl w:val="0"/>
          </w:rPr>
          <w:t xml:space="preserve">https://www.bajajbroking.in/knowledge-center/5-3-1-trading-strategy</w:t>
        </w:r>
      </w:hyperlink>
      <w:r w:rsidDel="00000000" w:rsidR="00000000" w:rsidRPr="00000000">
        <w:rPr>
          <w:rtl w:val="0"/>
        </w:rPr>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Neutral Strategy in Crypto: Does It Actually Work ..., accessed June 14, 2026, </w:t>
      </w:r>
      <w:hyperlink r:id="rId40">
        <w:r w:rsidDel="00000000" w:rsidR="00000000" w:rsidRPr="00000000">
          <w:rPr>
            <w:rFonts w:ascii="Google Sans" w:cs="Google Sans" w:eastAsia="Google Sans" w:hAnsi="Google Sans"/>
            <w:color w:val="0000ee"/>
            <w:sz w:val="24"/>
            <w:szCs w:val="24"/>
            <w:u w:val="single"/>
            <w:rtl w:val="0"/>
          </w:rPr>
          <w:t xml:space="preserve">https://www.tv-hub.org/guide/market-neutral-strategy-crypto</w:t>
        </w:r>
      </w:hyperlink>
      <w:r w:rsidDel="00000000" w:rsidR="00000000" w:rsidRPr="00000000">
        <w:rPr>
          <w:rtl w:val="0"/>
        </w:rPr>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Strategy Backtesting in Cryptocurrency Markets with DolphinDB, accessed June 14, 2026, </w:t>
      </w:r>
      <w:hyperlink r:id="rId41">
        <w:r w:rsidDel="00000000" w:rsidR="00000000" w:rsidRPr="00000000">
          <w:rPr>
            <w:rFonts w:ascii="Google Sans" w:cs="Google Sans" w:eastAsia="Google Sans" w:hAnsi="Google Sans"/>
            <w:color w:val="0000ee"/>
            <w:sz w:val="24"/>
            <w:szCs w:val="24"/>
            <w:u w:val="single"/>
            <w:rtl w:val="0"/>
          </w:rPr>
          <w:t xml:space="preserve">https://docs.dolphindb.com/en/Tutorials/strategy_backtesting_in_cryptocurrency_markets.html</w:t>
        </w:r>
      </w:hyperlink>
      <w:r w:rsidDel="00000000" w:rsidR="00000000" w:rsidRPr="00000000">
        <w:rPr>
          <w:rtl w:val="0"/>
        </w:rPr>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Profiting from Perpetuals: Implementing a Funding Rate Arbitrage Strategy with Backtesting | by DolphinDB | Medium, accessed June 14, 2026, </w:t>
      </w:r>
      <w:hyperlink r:id="rId42">
        <w:r w:rsidDel="00000000" w:rsidR="00000000" w:rsidRPr="00000000">
          <w:rPr>
            <w:rFonts w:ascii="Google Sans" w:cs="Google Sans" w:eastAsia="Google Sans" w:hAnsi="Google Sans"/>
            <w:color w:val="0000ee"/>
            <w:sz w:val="24"/>
            <w:szCs w:val="24"/>
            <w:u w:val="single"/>
            <w:rtl w:val="0"/>
          </w:rPr>
          <w:t xml:space="preserve">https://medium.com/@DolphinDB_Inc/profiting-from-perpetuals-implementing-a-funding-rate-arbitrage-strategy-with-backtesting-e8b9b8766ac1</w:t>
        </w:r>
      </w:hyperlink>
      <w:r w:rsidDel="00000000" w:rsidR="00000000" w:rsidRPr="00000000">
        <w:rPr>
          <w:rtl w:val="0"/>
        </w:rPr>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the Famous 'Free Money' Crypto Strategy — Here's the Truth - YouTube, accessed June 14,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https://www.youtube.com/watch?v=sV_B03EfZLw</w:t>
        </w:r>
      </w:hyperlink>
      <w:r w:rsidDel="00000000" w:rsidR="00000000" w:rsidRPr="00000000">
        <w:rPr>
          <w:rtl w:val="0"/>
        </w:rPr>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Funding Rate Arbitrage - Amberdata Blog, accessed June 14, 2026, </w:t>
      </w:r>
      <w:hyperlink r:id="rId44">
        <w:r w:rsidDel="00000000" w:rsidR="00000000" w:rsidRPr="00000000">
          <w:rPr>
            <w:rFonts w:ascii="Google Sans" w:cs="Google Sans" w:eastAsia="Google Sans" w:hAnsi="Google Sans"/>
            <w:color w:val="0000ee"/>
            <w:sz w:val="24"/>
            <w:szCs w:val="24"/>
            <w:u w:val="single"/>
            <w:rtl w:val="0"/>
          </w:rPr>
          <w:t xml:space="preserve">https://blog.amberdata.io/the-ultimate-guide-to-funding-rate-arbitrage-amberdata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v-hub.org/guide/market-neutral-strategy-crypto" TargetMode="External"/><Relationship Id="rId20" Type="http://schemas.openxmlformats.org/officeDocument/2006/relationships/hyperlink" Target="https://www.youtube.com/watch?v=4cK3weGxZeA" TargetMode="External"/><Relationship Id="rId42" Type="http://schemas.openxmlformats.org/officeDocument/2006/relationships/hyperlink" Target="https://medium.com/@DolphinDB_Inc/profiting-from-perpetuals-implementing-a-funding-rate-arbitrage-strategy-with-backtesting-e8b9b8766ac1" TargetMode="External"/><Relationship Id="rId41" Type="http://schemas.openxmlformats.org/officeDocument/2006/relationships/hyperlink" Target="https://docs.dolphindb.com/en/Tutorials/strategy_backtesting_in_cryptocurrency_markets.html" TargetMode="External"/><Relationship Id="rId22" Type="http://schemas.openxmlformats.org/officeDocument/2006/relationships/hyperlink" Target="https://trendspider.com/learning-center/fair-value-gap-trading-strategy/" TargetMode="External"/><Relationship Id="rId44" Type="http://schemas.openxmlformats.org/officeDocument/2006/relationships/hyperlink" Target="https://blog.amberdata.io/the-ultimate-guide-to-funding-rate-arbitrage-amberdata" TargetMode="External"/><Relationship Id="rId21" Type="http://schemas.openxmlformats.org/officeDocument/2006/relationships/hyperlink" Target="https://www.reddit.com/r/algotrading/comments/1q5op3l/backtested_16000_retail_trading_strategies_how_do/" TargetMode="External"/><Relationship Id="rId43" Type="http://schemas.openxmlformats.org/officeDocument/2006/relationships/hyperlink" Target="https://www.youtube.com/watch?v=sV_B03EfZLw" TargetMode="External"/><Relationship Id="rId24" Type="http://schemas.openxmlformats.org/officeDocument/2006/relationships/hyperlink" Target="https://phidiaspropfirm.com/education/fair-value-gap" TargetMode="External"/><Relationship Id="rId23" Type="http://schemas.openxmlformats.org/officeDocument/2006/relationships/hyperlink" Target="https://www.edgeful.com/blog/posts/fair-value-gap-best-practices-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OG-DbgmzzI" TargetMode="External"/><Relationship Id="rId26" Type="http://schemas.openxmlformats.org/officeDocument/2006/relationships/hyperlink" Target="https://www.euronext.com/sites/default/files/2019-04/Qi%20Euro%20Stoxx%20600%20White%20Paper.pdf" TargetMode="External"/><Relationship Id="rId25" Type="http://schemas.openxmlformats.org/officeDocument/2006/relationships/hyperlink" Target="https://www.reddit.com/r/Trading/comments/1qmr3na/i_backtested_fair_value_gaps_heres_what_i_found/" TargetMode="External"/><Relationship Id="rId28" Type="http://schemas.openxmlformats.org/officeDocument/2006/relationships/hyperlink" Target="https://www.youtube.com/watch?v=Sjv9_tUdUkY" TargetMode="External"/><Relationship Id="rId27" Type="http://schemas.openxmlformats.org/officeDocument/2006/relationships/hyperlink" Target="https://innercircletrader.net/tutorials/ict-silver-bullet-strategy/"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youtube.com/watch?v=POyd5Quw0WY" TargetMode="External"/><Relationship Id="rId7" Type="http://schemas.openxmlformats.org/officeDocument/2006/relationships/image" Target="media/image2.png"/><Relationship Id="rId8" Type="http://schemas.openxmlformats.org/officeDocument/2006/relationships/hyperlink" Target="https://www.quantifiedstrategies.com/opening-range-breakout-strategy/" TargetMode="External"/><Relationship Id="rId31" Type="http://schemas.openxmlformats.org/officeDocument/2006/relationships/hyperlink" Target="https://www.finermarketpoints.com/post/what-is-mark-minervini-s-trading-strategy-the-complete-sepa-vcp-guide" TargetMode="External"/><Relationship Id="rId30" Type="http://schemas.openxmlformats.org/officeDocument/2006/relationships/hyperlink" Target="https://www.reddit.com/r/Forex/comments/1sgw3g4/backtested_7_ict_setups_for_10_years_silver/" TargetMode="External"/><Relationship Id="rId11" Type="http://schemas.openxmlformats.org/officeDocument/2006/relationships/hyperlink" Target="https://tradingrush.net/bollinger-bands-rsi-trading-strategy-tested-100-times-will-this-make-profit-for-you/" TargetMode="External"/><Relationship Id="rId33" Type="http://schemas.openxmlformats.org/officeDocument/2006/relationships/hyperlink" Target="https://www.finermarketpoints.com/post/what-is-a-vcp-pattern-mark-minervini-s-volatility-contraction-pattern-explained" TargetMode="External"/><Relationship Id="rId10" Type="http://schemas.openxmlformats.org/officeDocument/2006/relationships/hyperlink" Target="https://www.edgeful.com/blog/posts/5-minute-opening-range-breakout-es-strategy" TargetMode="External"/><Relationship Id="rId32" Type="http://schemas.openxmlformats.org/officeDocument/2006/relationships/hyperlink" Target="https://traderlion.com/technical-analysis/volatility-contraction-pattern/" TargetMode="External"/><Relationship Id="rId13" Type="http://schemas.openxmlformats.org/officeDocument/2006/relationships/hyperlink" Target="https://www.algohubb.com/strategies/bollinger-bounce" TargetMode="External"/><Relationship Id="rId35" Type="http://schemas.openxmlformats.org/officeDocument/2006/relationships/hyperlink" Target="https://sharpely.in/blog/volatility-contraction-pattern-(vcp):-a-rule-based-screener-built-for-high-quality-breakouts" TargetMode="External"/><Relationship Id="rId12" Type="http://schemas.openxmlformats.org/officeDocument/2006/relationships/hyperlink" Target="https://www.reddit.com/r/Daytrading/comments/1pt0eas/backtested_rsi_bollinger_bands_strategy_across/" TargetMode="External"/><Relationship Id="rId34" Type="http://schemas.openxmlformats.org/officeDocument/2006/relationships/hyperlink" Target="https://trendspider.com/learning-center/volatility-contraction-pattern-vcp/" TargetMode="External"/><Relationship Id="rId15" Type="http://schemas.openxmlformats.org/officeDocument/2006/relationships/hyperlink" Target="https://www.reddit.com/r/Trading/comments/1pxzthn/larry_connors_rsi2_a_20year_portfolio_backtest/" TargetMode="External"/><Relationship Id="rId37" Type="http://schemas.openxmlformats.org/officeDocument/2006/relationships/hyperlink" Target="https://github.com/ilahuerta-IA/backtrader-pullback-window-xauusd" TargetMode="External"/><Relationship Id="rId14" Type="http://schemas.openxmlformats.org/officeDocument/2006/relationships/hyperlink" Target="https://www.quantifiedstrategies.com/rsi-2-strategy/" TargetMode="External"/><Relationship Id="rId36" Type="http://schemas.openxmlformats.org/officeDocument/2006/relationships/hyperlink" Target="https://journalplus.co/learn/glossary/setup" TargetMode="External"/><Relationship Id="rId17" Type="http://schemas.openxmlformats.org/officeDocument/2006/relationships/hyperlink" Target="https://dailypriceaction.com/blog/liquidity-sweep-reversals/" TargetMode="External"/><Relationship Id="rId39" Type="http://schemas.openxmlformats.org/officeDocument/2006/relationships/hyperlink" Target="https://www.bajajbroking.in/knowledge-center/5-3-1-trading-strategy" TargetMode="External"/><Relationship Id="rId16" Type="http://schemas.openxmlformats.org/officeDocument/2006/relationships/hyperlink" Target="https://www.reddit.com/r/algotrading/comments/1fm5lfj/backtest_results_for_connors_rsi2_strategy/" TargetMode="External"/><Relationship Id="rId38" Type="http://schemas.openxmlformats.org/officeDocument/2006/relationships/hyperlink" Target="https://medium.com/@betashorts1998/i-fixed-the-biggest-flaw-in-my-last-backtest-the-strategy-still-lost-money-64022a65e370" TargetMode="External"/><Relationship Id="rId19" Type="http://schemas.openxmlformats.org/officeDocument/2006/relationships/hyperlink" Target="https://internationaltradinginstitute.com/blog/liquidity-sweeps-entry-exit-strategies/" TargetMode="External"/><Relationship Id="rId18" Type="http://schemas.openxmlformats.org/officeDocument/2006/relationships/hyperlink" Target="https://www.youtube.com/watch?v=xzSFYcgKia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