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:rsidR="00D41CBF" w:rsidRPr="00D41CBF" w:rsidRDefault="00C43D20" w:rsidP="00D41CBF">
      <w:fldSimple w:instr="SUBJECT   \* MERGEFORMAT">
        <w:r w:rsidR="00A01338" w:rsidRPr="00A01338">
          <w:rPr>
            <w:rFonts w:ascii="Arial" w:hAnsi="Arial" w:cs="Arial"/>
            <w:sz w:val="22"/>
            <w:szCs w:val="22"/>
          </w:rPr>
          <w:t>ХХХ.ХХХХХХХХ.ХХХХХ-01 90 01</w:t>
        </w:r>
      </w:fldSimple>
      <w:r w:rsidR="00D41CBF" w:rsidRPr="00D41CBF">
        <w:rPr>
          <w:rFonts w:ascii="Arial" w:hAnsi="Arial" w:cs="Arial"/>
          <w:sz w:val="22"/>
          <w:szCs w:val="22"/>
        </w:rPr>
        <w:t>-</w:t>
      </w:r>
      <w:r w:rsidR="00D41CBF" w:rsidRPr="00C66D33">
        <w:rPr>
          <w:rFonts w:ascii="Arial" w:hAnsi="Arial" w:cs="Arial"/>
          <w:sz w:val="22"/>
          <w:szCs w:val="22"/>
        </w:rPr>
        <w:t>ЛУ</w:t>
      </w:r>
    </w:p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>
      <w:pPr>
        <w:rPr>
          <w:rFonts w:ascii="Arial" w:hAnsi="Arial" w:cs="Arial"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:rsidR="00A54CED" w:rsidRPr="002C2C00" w:rsidRDefault="00C43D20" w:rsidP="00A54CED">
      <w:pPr>
        <w:spacing w:after="120"/>
        <w:jc w:val="center"/>
        <w:rPr>
          <w:rFonts w:ascii="Arial" w:hAnsi="Arial" w:cs="Arial"/>
          <w:b/>
        </w:rPr>
      </w:pPr>
      <w:fldSimple w:instr=" SUBJECT   \* MERGEFORMAT ">
        <w:r w:rsidR="00A54CED">
          <w:rPr>
            <w:rFonts w:ascii="Arial" w:hAnsi="Arial" w:cs="Arial"/>
            <w:b/>
          </w:rPr>
          <w:t>ХХХ.ХХХХХХХХ.ХХХХХ-01 90 01</w:t>
        </w:r>
      </w:fldSimple>
    </w:p>
    <w:p w:rsidR="003801C6" w:rsidRPr="003C679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C43D20"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="00C43D20"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</w:t>
      </w:r>
      <w:r w:rsidR="00C43D20" w:rsidRPr="002C2C00">
        <w:rPr>
          <w:rFonts w:ascii="Arial" w:hAnsi="Arial" w:cs="Arial"/>
          <w:b/>
        </w:rPr>
        <w:fldChar w:fldCharType="end"/>
      </w:r>
      <w:r w:rsidR="00744C4C" w:rsidRPr="003C6790">
        <w:rPr>
          <w:rFonts w:ascii="Arial" w:hAnsi="Arial" w:cs="Arial"/>
          <w:b/>
        </w:rPr>
        <w:t>6</w:t>
      </w:r>
    </w:p>
    <w:p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A01338">
        <w:rPr>
          <w:rFonts w:ascii="Arial" w:hAnsi="Arial" w:cs="Arial"/>
          <w:sz w:val="22"/>
          <w:szCs w:val="22"/>
        </w:rPr>
        <w:t>21</w:t>
      </w:r>
    </w:p>
    <w:p w:rsidR="00DC7E88" w:rsidRPr="00694AA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:rsidR="00694AA4" w:rsidRPr="003C6790" w:rsidRDefault="00694AA4" w:rsidP="00694AA4">
      <w:pPr>
        <w:pStyle w:val="tdtext"/>
        <w:rPr>
          <w:sz w:val="24"/>
        </w:rPr>
      </w:pPr>
      <w:r w:rsidRPr="003C6790">
        <w:rPr>
          <w:sz w:val="24"/>
        </w:rPr>
        <w:t xml:space="preserve">Данное техническое задание создано для автоматизации </w:t>
      </w:r>
      <w:r w:rsidR="002E3FC1" w:rsidRPr="003C6790">
        <w:rPr>
          <w:sz w:val="24"/>
        </w:rPr>
        <w:t xml:space="preserve">заполнения путевого журнала </w:t>
      </w:r>
      <w:r w:rsidRPr="003C6790">
        <w:rPr>
          <w:sz w:val="24"/>
        </w:rPr>
        <w:t xml:space="preserve">и упрощения вычисления </w:t>
      </w:r>
      <w:r w:rsidR="002E3FC1" w:rsidRPr="003C6790">
        <w:rPr>
          <w:sz w:val="24"/>
        </w:rPr>
        <w:t xml:space="preserve">пробега и расхода топлива автотранспорта </w:t>
      </w:r>
      <w:r w:rsidRPr="003C6790">
        <w:rPr>
          <w:sz w:val="24"/>
        </w:rPr>
        <w:t>по маршрутным точкам.</w:t>
      </w:r>
    </w:p>
    <w:p w:rsidR="008C6CE6" w:rsidRPr="00694AA4" w:rsidRDefault="008C6CE6" w:rsidP="00694AA4">
      <w:pPr>
        <w:pStyle w:val="tdtext"/>
      </w:pPr>
    </w:p>
    <w:p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C43D20">
        <w:fldChar w:fldCharType="begin"/>
      </w:r>
      <w:r w:rsidR="00A10F1A" w:rsidRPr="00330A69">
        <w:instrText xml:space="preserve"> TOC \o "1-3" \h \z \u </w:instrText>
      </w:r>
      <w:r w:rsidRPr="00C43D20">
        <w:fldChar w:fldCharType="separate"/>
      </w:r>
      <w:hyperlink w:anchor="_Toc73541061" w:history="1">
        <w:r w:rsidR="00F8361E" w:rsidRPr="00CC0985">
          <w:rPr>
            <w:rStyle w:val="af"/>
            <w:lang w:val="en-US"/>
          </w:rPr>
          <w:t>1.</w:t>
        </w:r>
        <w:r w:rsidR="00F8361E" w:rsidRPr="00CC0985">
          <w:rPr>
            <w:rStyle w:val="af"/>
            <w:shd w:val="clear" w:color="auto" w:fill="FFFFFF"/>
          </w:rPr>
          <w:t xml:space="preserve"> Введение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2" w:history="1">
        <w:r w:rsidR="00F8361E" w:rsidRPr="00CC0985">
          <w:rPr>
            <w:rStyle w:val="af"/>
            <w:noProof/>
            <w:lang w:val="en-US"/>
          </w:rPr>
          <w:t>1.1.</w:t>
        </w:r>
        <w:r w:rsidR="00F8361E" w:rsidRPr="00CC0985">
          <w:rPr>
            <w:rStyle w:val="af"/>
            <w:noProof/>
          </w:rPr>
          <w:t xml:space="preserve"> Наименование программы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3" w:history="1">
        <w:r w:rsidR="00F8361E" w:rsidRPr="00CC0985">
          <w:rPr>
            <w:rStyle w:val="af"/>
            <w:noProof/>
            <w:lang w:val="en-US"/>
          </w:rPr>
          <w:t>1.2.</w:t>
        </w:r>
        <w:r w:rsidR="00F8361E" w:rsidRPr="00CC0985">
          <w:rPr>
            <w:rStyle w:val="af"/>
            <w:noProof/>
          </w:rPr>
          <w:t xml:space="preserve"> Краткая характеристика области применения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4" w:history="1">
        <w:r w:rsidR="00F8361E" w:rsidRPr="00CC0985">
          <w:rPr>
            <w:rStyle w:val="af"/>
          </w:rPr>
          <w:t>2.</w:t>
        </w:r>
        <w:r w:rsidR="00F8361E" w:rsidRPr="00CC0985">
          <w:rPr>
            <w:rStyle w:val="af"/>
            <w:shd w:val="clear" w:color="auto" w:fill="FFFFFF"/>
          </w:rPr>
          <w:t xml:space="preserve"> Основания для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5" w:history="1">
        <w:r w:rsidR="00F8361E" w:rsidRPr="00CC0985">
          <w:rPr>
            <w:rStyle w:val="af"/>
          </w:rPr>
          <w:t>3.</w:t>
        </w:r>
        <w:r w:rsidR="00F8361E" w:rsidRPr="00CC0985">
          <w:rPr>
            <w:rStyle w:val="af"/>
            <w:shd w:val="clear" w:color="auto" w:fill="FFFFFF"/>
          </w:rPr>
          <w:t xml:space="preserve"> Назначение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6" w:history="1">
        <w:r w:rsidR="00F8361E" w:rsidRPr="00CC0985">
          <w:rPr>
            <w:rStyle w:val="af"/>
            <w:noProof/>
          </w:rPr>
          <w:t>3.1. Функциональное назначение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7" w:history="1">
        <w:r w:rsidR="00F8361E" w:rsidRPr="00CC0985">
          <w:rPr>
            <w:rStyle w:val="af"/>
            <w:noProof/>
          </w:rPr>
          <w:t>3.2. Эксплуатационное назначение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8" w:history="1">
        <w:r w:rsidR="00F8361E" w:rsidRPr="00CC0985">
          <w:rPr>
            <w:rStyle w:val="af"/>
          </w:rPr>
          <w:t>4.</w:t>
        </w:r>
        <w:r w:rsidR="00F8361E" w:rsidRPr="00CC0985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9" w:history="1">
        <w:r w:rsidR="00F8361E" w:rsidRPr="00CC0985">
          <w:rPr>
            <w:rStyle w:val="af"/>
            <w:noProof/>
          </w:rPr>
          <w:t>4.1. Требования к функциональным характеристикам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0" w:history="1">
        <w:r w:rsidR="00F8361E" w:rsidRPr="00CC0985">
          <w:rPr>
            <w:rStyle w:val="af"/>
            <w:noProof/>
          </w:rPr>
          <w:t>4.1.1. Требования к составу выполняемых функций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1" w:history="1">
        <w:r w:rsidR="00F8361E" w:rsidRPr="00CC0985">
          <w:rPr>
            <w:rStyle w:val="af"/>
            <w:noProof/>
          </w:rPr>
          <w:t>4.1.2. Требования к организации входных и выходных данных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2" w:history="1">
        <w:r w:rsidR="00F8361E" w:rsidRPr="00CC0985">
          <w:rPr>
            <w:rStyle w:val="af"/>
            <w:noProof/>
          </w:rPr>
          <w:t>4.1.3. Требования к временным характеристикам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3" w:history="1">
        <w:r w:rsidR="00F8361E" w:rsidRPr="00CC0985">
          <w:rPr>
            <w:rStyle w:val="af"/>
            <w:noProof/>
          </w:rPr>
          <w:t>4.2. Требования к надежности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4" w:history="1">
        <w:r w:rsidR="00F8361E" w:rsidRPr="00CC0985">
          <w:rPr>
            <w:rStyle w:val="af"/>
            <w:noProof/>
          </w:rPr>
          <w:t>4.3. Условия эксплуатации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5" w:history="1">
        <w:r w:rsidR="00F8361E" w:rsidRPr="00CC0985">
          <w:rPr>
            <w:rStyle w:val="af"/>
            <w:noProof/>
          </w:rPr>
          <w:t>4.3.1. Климатические условия эксплуатации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6" w:history="1">
        <w:r w:rsidR="00F8361E" w:rsidRPr="00CC0985">
          <w:rPr>
            <w:rStyle w:val="af"/>
            <w:noProof/>
          </w:rPr>
          <w:t>4.3.2. Требования к видам обслуживания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7" w:history="1">
        <w:r w:rsidR="00F8361E" w:rsidRPr="00CC0985">
          <w:rPr>
            <w:rStyle w:val="af"/>
            <w:noProof/>
          </w:rPr>
          <w:t>4.3.3. Требования к численности и квалификации персонала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8" w:history="1">
        <w:r w:rsidR="00F8361E" w:rsidRPr="00CC0985">
          <w:rPr>
            <w:rStyle w:val="af"/>
            <w:noProof/>
          </w:rPr>
          <w:t>4.4. Требования к составу и параметрам технических средств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9" w:history="1">
        <w:r w:rsidR="00F8361E" w:rsidRPr="00CC0985">
          <w:rPr>
            <w:rStyle w:val="af"/>
            <w:noProof/>
          </w:rPr>
          <w:t>4.5. Требования к информационной и программной совместимости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0" w:history="1">
        <w:r w:rsidR="00F8361E" w:rsidRPr="00CC0985">
          <w:rPr>
            <w:rStyle w:val="af"/>
            <w:noProof/>
          </w:rPr>
          <w:t>4.6. Требования к маркировке и упаковке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1" w:history="1">
        <w:r w:rsidR="00F8361E" w:rsidRPr="00CC0985">
          <w:rPr>
            <w:rStyle w:val="af"/>
            <w:noProof/>
          </w:rPr>
          <w:t>4.7. Требования к транспортированию и хранению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2" w:history="1">
        <w:r w:rsidR="00F8361E" w:rsidRPr="00CC0985">
          <w:rPr>
            <w:rStyle w:val="af"/>
            <w:noProof/>
          </w:rPr>
          <w:t>4.8. Специальные требования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3" w:history="1">
        <w:r w:rsidR="00F8361E" w:rsidRPr="00CC0985">
          <w:rPr>
            <w:rStyle w:val="af"/>
          </w:rPr>
          <w:t>5. Требования к программной документации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4" w:history="1">
        <w:r w:rsidR="00F8361E" w:rsidRPr="00CC0985">
          <w:rPr>
            <w:rStyle w:val="af"/>
          </w:rPr>
          <w:t>6.</w:t>
        </w:r>
        <w:r w:rsidR="00F8361E" w:rsidRPr="00CC0985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5" w:history="1">
        <w:r w:rsidR="00F8361E" w:rsidRPr="00CC0985">
          <w:rPr>
            <w:rStyle w:val="af"/>
          </w:rPr>
          <w:t>7.</w:t>
        </w:r>
        <w:r w:rsidR="00F8361E" w:rsidRPr="00CC0985">
          <w:rPr>
            <w:rStyle w:val="af"/>
            <w:shd w:val="clear" w:color="auto" w:fill="FFFFFF"/>
          </w:rPr>
          <w:t xml:space="preserve"> Стадии и этапы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6" w:history="1">
        <w:r w:rsidR="00F8361E" w:rsidRPr="00CC0985">
          <w:rPr>
            <w:rStyle w:val="af"/>
          </w:rPr>
          <w:t>8.</w:t>
        </w:r>
        <w:r w:rsidR="00F8361E" w:rsidRPr="00CC0985">
          <w:rPr>
            <w:rStyle w:val="af"/>
            <w:shd w:val="clear" w:color="auto" w:fill="FFFFFF"/>
          </w:rPr>
          <w:t xml:space="preserve"> Порядок контроля и приемки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8361E" w:rsidRDefault="00C43D2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7" w:history="1">
        <w:r w:rsidR="00F8361E" w:rsidRPr="00CC0985">
          <w:rPr>
            <w:rStyle w:val="af"/>
          </w:rPr>
          <w:t>Перечень принятых сокращений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10F1A" w:rsidRPr="00330A69" w:rsidRDefault="00C43D20" w:rsidP="002B7F7E">
      <w:r w:rsidRPr="00330A69">
        <w:fldChar w:fldCharType="end"/>
      </w:r>
    </w:p>
    <w:p w:rsidR="00C3188E" w:rsidRPr="00C3188E" w:rsidRDefault="00A10F1A" w:rsidP="00C3188E">
      <w:pPr>
        <w:pStyle w:val="tdtoccaptionlevel1"/>
        <w:rPr>
          <w:lang w:val="en-US"/>
        </w:rPr>
      </w:pPr>
      <w:bookmarkStart w:id="1" w:name="_Toc73541061"/>
      <w:r w:rsidRPr="00C3188E">
        <w:rPr>
          <w:shd w:val="clear" w:color="auto" w:fill="FFFFFF"/>
        </w:rPr>
        <w:lastRenderedPageBreak/>
        <w:t>Введение</w:t>
      </w:r>
      <w:bookmarkEnd w:id="1"/>
    </w:p>
    <w:p w:rsidR="00C3188E" w:rsidRPr="00C3188E" w:rsidRDefault="00694AA4" w:rsidP="00C3188E">
      <w:pPr>
        <w:pStyle w:val="tdtoccaptionlevel2"/>
        <w:rPr>
          <w:lang w:val="en-US"/>
        </w:rPr>
      </w:pPr>
      <w:bookmarkStart w:id="2" w:name="_Toc73541062"/>
      <w:r>
        <w:t>Наименование программы</w:t>
      </w:r>
      <w:bookmarkStart w:id="3" w:name="_Toc73540458"/>
      <w:bookmarkEnd w:id="2"/>
      <w:r w:rsidR="00C3188E">
        <w:t xml:space="preserve"> </w:t>
      </w:r>
    </w:p>
    <w:bookmarkEnd w:id="3"/>
    <w:p w:rsidR="00702E54" w:rsidRPr="003C6790" w:rsidRDefault="00702E54" w:rsidP="00213885">
      <w:pPr>
        <w:pStyle w:val="tdtext"/>
        <w:rPr>
          <w:sz w:val="24"/>
        </w:rPr>
      </w:pPr>
      <w:r w:rsidRPr="003C6790">
        <w:rPr>
          <w:sz w:val="24"/>
        </w:rPr>
        <w:t>Наименование программы – «Расчет расхода топлива».</w:t>
      </w:r>
    </w:p>
    <w:p w:rsidR="00702E54" w:rsidRPr="00213885" w:rsidRDefault="00702E54" w:rsidP="00213885">
      <w:pPr>
        <w:pStyle w:val="tdtext"/>
      </w:pPr>
    </w:p>
    <w:p w:rsidR="00213885" w:rsidRDefault="00694AA4" w:rsidP="00213885">
      <w:pPr>
        <w:pStyle w:val="tdtoccaptionlevel2"/>
        <w:rPr>
          <w:lang w:val="en-US"/>
        </w:rPr>
      </w:pPr>
      <w:bookmarkStart w:id="4" w:name="_Toc73541063"/>
      <w:r>
        <w:t>Краткая характеристика области применения</w:t>
      </w:r>
      <w:bookmarkEnd w:id="4"/>
    </w:p>
    <w:p w:rsidR="00702E54" w:rsidRPr="003C6790" w:rsidRDefault="00702E54" w:rsidP="00702E54">
      <w:pPr>
        <w:pStyle w:val="tdtext"/>
        <w:rPr>
          <w:sz w:val="24"/>
        </w:rPr>
      </w:pPr>
      <w:r w:rsidRPr="003C6790">
        <w:rPr>
          <w:sz w:val="24"/>
        </w:rPr>
        <w:t>Программа «Расчет расхода топлива» предназначена для расчета пробега и расхода топлива за рабочий день или один рейс по заданным маршрутным точкам.</w:t>
      </w:r>
    </w:p>
    <w:p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73541064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</w:p>
    <w:p w:rsidR="00694AA4" w:rsidRPr="003C6790" w:rsidRDefault="00694AA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Основанием для разработки является (Договор № хххх от дд.мм.гг). Договор </w:t>
      </w:r>
      <w:r w:rsidR="003F5202" w:rsidRPr="003C6790">
        <w:rPr>
          <w:sz w:val="24"/>
        </w:rPr>
        <w:t>заключен между</w:t>
      </w:r>
      <w:r w:rsidR="00A37DA6" w:rsidRPr="003C6790">
        <w:rPr>
          <w:sz w:val="24"/>
        </w:rPr>
        <w:t xml:space="preserve"> </w:t>
      </w:r>
      <w:r w:rsidR="00482AA0" w:rsidRPr="003C6790">
        <w:rPr>
          <w:sz w:val="24"/>
        </w:rPr>
        <w:t>ООО «</w:t>
      </w:r>
      <w:r w:rsidRPr="003C6790">
        <w:rPr>
          <w:sz w:val="24"/>
        </w:rPr>
        <w:t>ХХХХ</w:t>
      </w:r>
      <w:r w:rsidR="00482AA0" w:rsidRPr="003C6790">
        <w:rPr>
          <w:sz w:val="24"/>
        </w:rPr>
        <w:t>» в лице</w:t>
      </w:r>
      <w:r w:rsidR="003F5202" w:rsidRPr="003C6790">
        <w:rPr>
          <w:sz w:val="24"/>
        </w:rPr>
        <w:t xml:space="preserve"> директора ФИО</w:t>
      </w:r>
      <w:r w:rsidRPr="003C6790">
        <w:rPr>
          <w:sz w:val="24"/>
        </w:rPr>
        <w:t xml:space="preserve">, именуемым в дальнейшем заказчик и ООО «ХХХХ» в лице </w:t>
      </w:r>
      <w:r w:rsidR="003F5202" w:rsidRPr="003C6790">
        <w:rPr>
          <w:sz w:val="24"/>
        </w:rPr>
        <w:t>директора ФИО.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Согласно Договору, Исполнитель обязан разработать и установить программу «Расчет расхода топлива» на автоматизированные рабочие места Заказчика не позднее дд.мм.гг, предоставить исходные коды и документацию к разработанной системе не позднее дд.мм.гг.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Наименование темы разработки – «Разработка программы расчета расхода топлива».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Условное обозначение темы разработки (шифр темы) – «РСТ-01».</w:t>
      </w:r>
    </w:p>
    <w:p w:rsidR="00C57C04" w:rsidRPr="00694AA4" w:rsidRDefault="00C57C04" w:rsidP="00694AA4">
      <w:pPr>
        <w:pStyle w:val="tdtext"/>
      </w:pP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6" w:name="_Toc73541065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6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будет использоваться на территории заказчика двумя группами пользователей: водитель-сотрудник и сотрудник материально-технического обеспечения.</w:t>
      </w:r>
    </w:p>
    <w:p w:rsidR="00715819" w:rsidRDefault="00715819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7" w:name="_Toc73541066"/>
      <w:r>
        <w:t>Функциональное назначение</w:t>
      </w:r>
      <w:bookmarkEnd w:id="7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664ADC" w:rsidRPr="003C6790">
        <w:rPr>
          <w:sz w:val="24"/>
        </w:rPr>
        <w:t>водителя-</w:t>
      </w:r>
      <w:r w:rsidRPr="003C6790">
        <w:rPr>
          <w:sz w:val="24"/>
        </w:rPr>
        <w:t>сотрудника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сотрудника материально-технического обеспечения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маршруту), позволяет </w:t>
      </w:r>
      <w:r w:rsidR="00664ADC" w:rsidRPr="003C6790">
        <w:rPr>
          <w:sz w:val="24"/>
        </w:rPr>
        <w:t xml:space="preserve">редактировать справочные данные </w:t>
      </w:r>
      <w:r w:rsidRPr="003C6790">
        <w:rPr>
          <w:sz w:val="24"/>
        </w:rPr>
        <w:t>(</w:t>
      </w:r>
      <w:r w:rsidR="00664ADC" w:rsidRPr="003C6790">
        <w:rPr>
          <w:sz w:val="24"/>
        </w:rPr>
        <w:t>информация по расстоянию между маршрутными точками, расходу топлива</w:t>
      </w:r>
      <w:r w:rsidRPr="003C6790">
        <w:rPr>
          <w:sz w:val="24"/>
        </w:rPr>
        <w:t>).</w:t>
      </w:r>
    </w:p>
    <w:p w:rsidR="00C57C04" w:rsidRDefault="00C57C04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8" w:name="_Toc73541067"/>
      <w:r>
        <w:t>Эксплуатационное назначение</w:t>
      </w:r>
      <w:bookmarkEnd w:id="8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должна эксплуатироваться </w:t>
      </w:r>
      <w:r w:rsidR="00664ADC" w:rsidRPr="003C6790">
        <w:rPr>
          <w:sz w:val="24"/>
        </w:rPr>
        <w:t>на автоматизированных рабочих местах</w:t>
      </w:r>
      <w:r w:rsidR="007519BC" w:rsidRPr="003C6790">
        <w:rPr>
          <w:sz w:val="24"/>
        </w:rPr>
        <w:t xml:space="preserve"> заказчика. </w:t>
      </w:r>
    </w:p>
    <w:p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73541068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</w:p>
    <w:p w:rsidR="00A10F1A" w:rsidRDefault="00A10F1A" w:rsidP="00E46778">
      <w:pPr>
        <w:pStyle w:val="tdtoccaptionlevel2"/>
        <w:ind w:firstLine="709"/>
      </w:pPr>
      <w:bookmarkStart w:id="10" w:name="_Toc73541069"/>
      <w:r w:rsidRPr="00330A69">
        <w:t>Требования к функциональным характеристикам</w:t>
      </w:r>
      <w:bookmarkEnd w:id="10"/>
    </w:p>
    <w:p w:rsidR="007519BC" w:rsidRDefault="007519BC" w:rsidP="00E46778">
      <w:pPr>
        <w:pStyle w:val="tdtoccaptionlevel3"/>
        <w:ind w:firstLine="709"/>
      </w:pPr>
      <w:bookmarkStart w:id="11" w:name="_Toc73541070"/>
      <w:r>
        <w:t>Требования к составу выполняемых функций</w:t>
      </w:r>
      <w:bookmarkEnd w:id="11"/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После запуска программы пользователю </w:t>
      </w:r>
      <w:r w:rsidR="0042097E" w:rsidRPr="003C6790">
        <w:rPr>
          <w:sz w:val="24"/>
        </w:rPr>
        <w:t>выводится</w:t>
      </w:r>
      <w:r w:rsidRPr="003C6790">
        <w:rPr>
          <w:sz w:val="24"/>
        </w:rPr>
        <w:t xml:space="preserve"> форма </w:t>
      </w:r>
      <w:r w:rsidR="0042097E" w:rsidRPr="003C6790">
        <w:rPr>
          <w:sz w:val="24"/>
        </w:rPr>
        <w:t xml:space="preserve">для ввода </w:t>
      </w:r>
      <w:r w:rsidRPr="003C6790">
        <w:rPr>
          <w:sz w:val="24"/>
        </w:rPr>
        <w:t>логина и пароля, показанного на рисунке 1.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5E03EF">
      <w:pPr>
        <w:pStyle w:val="tdillustrationname"/>
        <w:rPr>
          <w:sz w:val="24"/>
        </w:rPr>
      </w:pPr>
      <w:r w:rsidRPr="003C6790">
        <w:rPr>
          <w:sz w:val="24"/>
        </w:rPr>
        <w:t>&lt;&lt;Логин и пароль&gt;&gt;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 системе пре</w:t>
      </w:r>
      <w:r w:rsidR="00713B5C" w:rsidRPr="003C6790">
        <w:rPr>
          <w:sz w:val="24"/>
        </w:rPr>
        <w:t xml:space="preserve">дусмотрены 2 типа пользователя - </w:t>
      </w:r>
      <w:r w:rsidRPr="003C6790">
        <w:rPr>
          <w:sz w:val="24"/>
        </w:rPr>
        <w:t xml:space="preserve">водитель-сотрудник и сотрудник материально-технического обеспечения. Программа проверяет тип пользователя и </w:t>
      </w:r>
      <w:r w:rsidR="0042097E" w:rsidRPr="003C6790">
        <w:rPr>
          <w:sz w:val="24"/>
        </w:rPr>
        <w:t>выводит</w:t>
      </w:r>
      <w:r w:rsidRPr="003C6790">
        <w:rPr>
          <w:sz w:val="24"/>
        </w:rPr>
        <w:t xml:space="preserve"> соответствующ</w:t>
      </w:r>
      <w:r w:rsidR="0042097E" w:rsidRPr="003C6790">
        <w:rPr>
          <w:sz w:val="24"/>
        </w:rPr>
        <w:t>ую</w:t>
      </w:r>
      <w:r w:rsidRPr="003C6790">
        <w:rPr>
          <w:sz w:val="24"/>
        </w:rPr>
        <w:t xml:space="preserve"> </w:t>
      </w:r>
      <w:r w:rsidR="0042097E" w:rsidRPr="003C6790">
        <w:rPr>
          <w:sz w:val="24"/>
        </w:rPr>
        <w:t>форму, показанную на рисунке 2</w:t>
      </w:r>
      <w:r w:rsidRPr="003C6790">
        <w:rPr>
          <w:sz w:val="24"/>
        </w:rPr>
        <w:t>.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42097E" w:rsidRPr="003C6790" w:rsidRDefault="0042097E" w:rsidP="0042097E">
      <w:pPr>
        <w:pStyle w:val="tdillustrationname"/>
        <w:rPr>
          <w:sz w:val="24"/>
        </w:rPr>
      </w:pPr>
      <w:r w:rsidRPr="003C6790">
        <w:rPr>
          <w:sz w:val="24"/>
        </w:rPr>
        <w:t>«Форма программы»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водителя-сотрудника доступны следующие возможности: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построение маршрута по маршрутным точкам;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расчет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очистка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изменение коэффициента расхода топлива;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справка;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информация о программе;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выход из программы.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Построение маршрута возможно с помощью кнопок с названием путевой точки. Для этого необходимо выбрать не менее двух путевых точек.</w:t>
      </w:r>
    </w:p>
    <w:p w:rsidR="00FC4E36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И</w:t>
      </w:r>
      <w:r w:rsidR="00FC4E36" w:rsidRPr="003C6790">
        <w:rPr>
          <w:sz w:val="24"/>
        </w:rPr>
        <w:t>нформация о пути следования будет отображаться в поле построения мар</w:t>
      </w:r>
      <w:r w:rsidR="0042097E" w:rsidRPr="003C6790">
        <w:rPr>
          <w:sz w:val="24"/>
        </w:rPr>
        <w:t>шрута, как показано на рисунке 3</w:t>
      </w:r>
      <w:r w:rsidR="00FC4E36" w:rsidRPr="003C6790">
        <w:rPr>
          <w:sz w:val="24"/>
        </w:rPr>
        <w:t>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П</w:t>
      </w:r>
      <w:r w:rsidRPr="003C6790">
        <w:rPr>
          <w:sz w:val="24"/>
        </w:rPr>
        <w:t>оле построения маршрута&gt;&gt;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FC4E36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При расчете данных информация</w:t>
      </w:r>
      <w:r w:rsidR="00713B5C" w:rsidRPr="003C6790">
        <w:rPr>
          <w:sz w:val="24"/>
        </w:rPr>
        <w:t>,</w:t>
      </w:r>
      <w:r w:rsidRPr="003C6790">
        <w:rPr>
          <w:sz w:val="24"/>
        </w:rPr>
        <w:t xml:space="preserve"> о пройденном расстоянии и расходе топлива</w:t>
      </w:r>
      <w:r w:rsidR="00713B5C" w:rsidRPr="003C6790">
        <w:rPr>
          <w:sz w:val="24"/>
        </w:rPr>
        <w:t>,</w:t>
      </w:r>
      <w:r w:rsidRPr="003C6790">
        <w:rPr>
          <w:sz w:val="24"/>
        </w:rPr>
        <w:t xml:space="preserve"> будет показана в информационных полях «Пробег» и «Расхо</w:t>
      </w:r>
      <w:r w:rsidR="0042097E" w:rsidRPr="003C6790">
        <w:rPr>
          <w:sz w:val="24"/>
        </w:rPr>
        <w:t>д», как показано на рисунке 4</w:t>
      </w:r>
      <w:r w:rsidRPr="003C6790">
        <w:rPr>
          <w:sz w:val="24"/>
        </w:rPr>
        <w:t xml:space="preserve">.  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 Отображение информации о пройденном расстоянии и расходе топлива&gt;&gt;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При выводе справочной информации будет показана информация о функционале программы, как показано на рисунке </w:t>
      </w:r>
      <w:r w:rsidR="0042097E" w:rsidRPr="003C6790">
        <w:rPr>
          <w:sz w:val="24"/>
        </w:rPr>
        <w:t>5</w:t>
      </w:r>
      <w:r w:rsidRPr="003C6790">
        <w:rPr>
          <w:sz w:val="24"/>
        </w:rPr>
        <w:t xml:space="preserve">. 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справочной информации&gt;&gt;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E85D7E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713B5C" w:rsidRPr="003C6790">
        <w:rPr>
          <w:sz w:val="24"/>
        </w:rPr>
        <w:t>очистки введенной информации и результатов расчета пользователь нажимает кнопку «Очистить».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применения коэффициента расхода топлива пользователь выполняет клик мышью по раскрывающемуся списку «Поправочный коэффициент»</w:t>
      </w:r>
      <w:r w:rsidR="000A41BE" w:rsidRPr="003C6790">
        <w:rPr>
          <w:sz w:val="24"/>
        </w:rPr>
        <w:t xml:space="preserve"> и выбирает требуемое значение как показано на рисунке </w:t>
      </w:r>
      <w:r w:rsidR="0042097E" w:rsidRPr="003C6790">
        <w:rPr>
          <w:sz w:val="24"/>
        </w:rPr>
        <w:t>6</w:t>
      </w:r>
      <w:r w:rsidR="004F6854" w:rsidRPr="003C6790">
        <w:rPr>
          <w:sz w:val="24"/>
        </w:rPr>
        <w:t>.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0A41BE" w:rsidRPr="003C6790" w:rsidRDefault="000A41BE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Отображение поправочного коэффициента</w:t>
      </w:r>
      <w:r w:rsidRPr="003C6790">
        <w:rPr>
          <w:sz w:val="24"/>
        </w:rPr>
        <w:t>&gt;&gt;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сотрудник</w:t>
      </w:r>
      <w:r w:rsidR="00B704BB" w:rsidRPr="003C6790">
        <w:rPr>
          <w:sz w:val="24"/>
        </w:rPr>
        <w:t>а</w:t>
      </w:r>
      <w:r w:rsidRPr="003C6790">
        <w:rPr>
          <w:sz w:val="24"/>
        </w:rPr>
        <w:t xml:space="preserve"> материально-технического обеспечения программа предоставляет все функции, доступные водителю-сотруднику, а также: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позволяет редактировать справочные данные.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Окно программы, помимо кнопок «Рассчитать» и «Очистить» должно содержать кнопку «Справочник», как показано на рисунке </w:t>
      </w:r>
      <w:r w:rsidR="0042097E" w:rsidRPr="003C6790">
        <w:rPr>
          <w:sz w:val="24"/>
        </w:rPr>
        <w:t>7</w:t>
      </w:r>
      <w:r w:rsidRPr="003C6790">
        <w:rPr>
          <w:sz w:val="24"/>
        </w:rPr>
        <w:t>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поправочного коэффициента&gt;&gt;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редактирования справочной информации пользователь кликает по кнопке «Справочник». Программа открывает соответствующий интерфейс, как показано на рисунке </w:t>
      </w:r>
      <w:r w:rsidR="0042097E" w:rsidRPr="003C6790">
        <w:rPr>
          <w:sz w:val="24"/>
        </w:rPr>
        <w:t>8</w:t>
      </w:r>
      <w:r w:rsidRPr="003C6790">
        <w:rPr>
          <w:sz w:val="24"/>
        </w:rPr>
        <w:t>.</w:t>
      </w:r>
      <w:r w:rsidR="00D83733" w:rsidRPr="003C6790">
        <w:rPr>
          <w:sz w:val="24"/>
        </w:rPr>
        <w:t xml:space="preserve"> Информация по расстоянию и расходу между путевыми точками представлена в табличном виде. Для изменения информации пользователь кликает по кнопке «Редактировать», выполняет двойной клик мышью по ячейке – после этого вводит новое значение. Если введено не корректное значение – то соответствующее поле таблицы подсветится красным</w:t>
      </w:r>
      <w:r w:rsidR="00B704BB" w:rsidRPr="003C6790">
        <w:rPr>
          <w:sz w:val="24"/>
        </w:rPr>
        <w:t xml:space="preserve"> цветом.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5E03EF" w:rsidRPr="003C6790">
        <w:rPr>
          <w:sz w:val="24"/>
        </w:rPr>
        <w:t>О</w:t>
      </w:r>
      <w:r w:rsidR="00D83733" w:rsidRPr="003C6790">
        <w:rPr>
          <w:sz w:val="24"/>
        </w:rPr>
        <w:t>тображение справочной информации</w:t>
      </w:r>
      <w:r w:rsidRPr="003C6790">
        <w:rPr>
          <w:sz w:val="24"/>
        </w:rPr>
        <w:t>&gt;&gt;</w:t>
      </w:r>
    </w:p>
    <w:p w:rsidR="00D83733" w:rsidRPr="003C6790" w:rsidRDefault="00D83733" w:rsidP="00E46778">
      <w:pPr>
        <w:pStyle w:val="tdtext"/>
        <w:ind w:firstLine="709"/>
        <w:rPr>
          <w:sz w:val="24"/>
        </w:rPr>
      </w:pPr>
    </w:p>
    <w:p w:rsidR="00D83733" w:rsidRPr="003C6790" w:rsidRDefault="00D8373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Все внесенные изменения пользователь сохраняет кликом по кнопке «Сохранить». </w:t>
      </w:r>
      <w:r w:rsidR="00B704BB" w:rsidRPr="003C6790">
        <w:rPr>
          <w:sz w:val="24"/>
        </w:rPr>
        <w:t>Программа выполнит сохранение данных и вернет пользователя в основной интерфейс.</w:t>
      </w:r>
    </w:p>
    <w:p w:rsidR="001B1E9A" w:rsidRPr="003C6790" w:rsidRDefault="001B1E9A" w:rsidP="00E46778">
      <w:pPr>
        <w:pStyle w:val="tdtext"/>
        <w:ind w:firstLine="709"/>
        <w:rPr>
          <w:b/>
          <w:sz w:val="24"/>
        </w:rPr>
      </w:pPr>
    </w:p>
    <w:p w:rsidR="001B1E9A" w:rsidRPr="003C6790" w:rsidRDefault="001B1E9A" w:rsidP="00E46778">
      <w:pPr>
        <w:pStyle w:val="tdtoccaptionlevel3"/>
        <w:ind w:firstLine="709"/>
        <w:rPr>
          <w:szCs w:val="24"/>
        </w:rPr>
      </w:pPr>
      <w:bookmarkStart w:id="12" w:name="_Toc73541071"/>
      <w:r w:rsidRPr="003C6790">
        <w:rPr>
          <w:szCs w:val="24"/>
        </w:rPr>
        <w:t>Требования к организации входных и выходных данных</w:t>
      </w:r>
      <w:bookmarkEnd w:id="12"/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Данные о расстояниях между маршрутными точками и расходом топлива хранятся в базе данных. Разграничение доступа к данным обеспечивается СУБД – водитель-сотрудник на чтение, а сотрудник материально-технического обеспечения на чтение и запись. Ввод данных в базу (логины, пароли, первичные данные по расстояниям между путевыми точками и расходу топлива) </w:t>
      </w:r>
      <w:r w:rsidR="003721C0" w:rsidRPr="003C6790">
        <w:rPr>
          <w:sz w:val="24"/>
        </w:rPr>
        <w:t>осуществляет</w:t>
      </w:r>
      <w:r w:rsidRPr="003C6790">
        <w:rPr>
          <w:sz w:val="24"/>
        </w:rPr>
        <w:t xml:space="preserve"> администратор, выполняющий поставку программного обеспечения заказчику. Внесение данных осуществляется с </w:t>
      </w:r>
      <w:r w:rsidR="003721C0" w:rsidRPr="003C6790">
        <w:rPr>
          <w:sz w:val="24"/>
        </w:rPr>
        <w:t>использованием</w:t>
      </w:r>
      <w:r w:rsidRPr="003C6790">
        <w:rPr>
          <w:sz w:val="24"/>
        </w:rPr>
        <w:t xml:space="preserve"> запросов к СУБД.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После установки программы, ввод и изменение данных в программе осуществляет только сотрудник материально-технического обеспечения, валидация данных выполняется на стороне заказчика: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lastRenderedPageBreak/>
        <w:t>- расстояние между путевыми точками должны быть записаны в формате: «км.мм»;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расход топлива должен быть записан в формате: «</w:t>
      </w:r>
      <w:r w:rsidR="005E03EF" w:rsidRPr="003C6790">
        <w:rPr>
          <w:sz w:val="24"/>
        </w:rPr>
        <w:t>лл</w:t>
      </w:r>
      <w:r w:rsidRPr="003C6790">
        <w:rPr>
          <w:sz w:val="24"/>
        </w:rPr>
        <w:t xml:space="preserve">.мл» 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</w:p>
    <w:p w:rsidR="0061335D" w:rsidRPr="003C6790" w:rsidRDefault="0061335D" w:rsidP="00E46778">
      <w:pPr>
        <w:pStyle w:val="tdtoccaptionlevel3"/>
        <w:ind w:firstLine="709"/>
        <w:rPr>
          <w:szCs w:val="24"/>
        </w:rPr>
      </w:pPr>
      <w:bookmarkStart w:id="13" w:name="_Toc73541072"/>
      <w:r w:rsidRPr="003C6790">
        <w:rPr>
          <w:szCs w:val="24"/>
        </w:rPr>
        <w:t>Требования к временным характеристикам</w:t>
      </w:r>
      <w:bookmarkEnd w:id="13"/>
    </w:p>
    <w:p w:rsidR="00F8361E" w:rsidRPr="003C6790" w:rsidRDefault="00F8361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После изменения справочных данных, находящихся в базе, новая информация для расчета будет доступна не позднее чем через 5 секунд.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4" w:name="_Toc73541073"/>
      <w:r w:rsidRPr="003C6790">
        <w:rPr>
          <w:szCs w:val="24"/>
        </w:rPr>
        <w:t>Требования к надежности</w:t>
      </w:r>
      <w:bookmarkEnd w:id="14"/>
    </w:p>
    <w:p w:rsidR="001B1E9A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Вероятность безотказной работы системы должна составлять не менее 99.99% при условии исправной сети связи между приложением и базой данных.</w:t>
      </w:r>
    </w:p>
    <w:p w:rsidR="0061335D" w:rsidRPr="003C6790" w:rsidRDefault="00AD285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Безотказное </w:t>
      </w:r>
      <w:r w:rsidR="0061335D" w:rsidRPr="003C6790">
        <w:rPr>
          <w:sz w:val="24"/>
        </w:rPr>
        <w:t xml:space="preserve">функционирование программы достигается совокупностью </w:t>
      </w:r>
      <w:r w:rsidR="006D6267" w:rsidRPr="003C6790">
        <w:rPr>
          <w:sz w:val="24"/>
        </w:rPr>
        <w:t>организационно-технических мероприятий, перечень которых приведен ниже</w:t>
      </w:r>
      <w:r w:rsidR="00AB7743" w:rsidRPr="003C6790">
        <w:rPr>
          <w:sz w:val="24"/>
        </w:rPr>
        <w:t>:</w:t>
      </w:r>
    </w:p>
    <w:p w:rsidR="00BD7F6B" w:rsidRPr="003C6790" w:rsidRDefault="00AB774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обеспечение бесперебойного питания</w:t>
      </w:r>
      <w:r w:rsidR="00BD7F6B" w:rsidRPr="003C6790">
        <w:rPr>
          <w:sz w:val="24"/>
        </w:rPr>
        <w:t>;</w:t>
      </w:r>
    </w:p>
    <w:p w:rsidR="00BD7F6B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использование </w:t>
      </w:r>
      <w:r w:rsidR="003E4B19" w:rsidRPr="003C6790">
        <w:rPr>
          <w:sz w:val="24"/>
        </w:rPr>
        <w:t>сертифицированного (лицензионного)</w:t>
      </w:r>
      <w:r w:rsidRPr="003C6790">
        <w:rPr>
          <w:sz w:val="24"/>
        </w:rPr>
        <w:t xml:space="preserve"> программного обеспечения;</w:t>
      </w:r>
    </w:p>
    <w:p w:rsidR="00C80861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</w:t>
      </w:r>
      <w:r w:rsidR="003E4B19" w:rsidRPr="003C6790">
        <w:rPr>
          <w:sz w:val="24"/>
        </w:rPr>
        <w:t>использование защиты</w:t>
      </w:r>
      <w:r w:rsidR="00C80861" w:rsidRPr="003C6790">
        <w:rPr>
          <w:sz w:val="24"/>
        </w:rPr>
        <w:t xml:space="preserve"> от вредоносных программ (вирусов).</w:t>
      </w:r>
    </w:p>
    <w:p w:rsidR="00C80861" w:rsidRPr="003C6790" w:rsidRDefault="00C80861" w:rsidP="00E46778">
      <w:pPr>
        <w:pStyle w:val="tdtext"/>
        <w:ind w:firstLine="709"/>
        <w:rPr>
          <w:sz w:val="24"/>
        </w:rPr>
      </w:pPr>
    </w:p>
    <w:p w:rsidR="001D16AF" w:rsidRPr="003C6790" w:rsidRDefault="00C8086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Время восстановления работоспособности программы, вызванного сбоем электропитания или иными внешними факторами (не фатальным сбоем </w:t>
      </w:r>
      <w:r w:rsidR="001D16AF" w:rsidRPr="003C6790">
        <w:rPr>
          <w:sz w:val="24"/>
        </w:rPr>
        <w:t>(</w:t>
      </w:r>
      <w:r w:rsidRPr="003C6790">
        <w:rPr>
          <w:sz w:val="24"/>
        </w:rPr>
        <w:t>крахом</w:t>
      </w:r>
      <w:r w:rsidR="001D16AF" w:rsidRPr="003C6790">
        <w:rPr>
          <w:sz w:val="24"/>
        </w:rPr>
        <w:t>)</w:t>
      </w:r>
      <w:r w:rsidRPr="003C6790">
        <w:rPr>
          <w:sz w:val="24"/>
        </w:rPr>
        <w:t xml:space="preserve"> операционной системы), </w:t>
      </w:r>
      <w:r w:rsidR="00EB2B4D" w:rsidRPr="003C6790">
        <w:rPr>
          <w:sz w:val="24"/>
        </w:rPr>
        <w:t>не должно превышать времени запуска программы</w:t>
      </w:r>
      <w:r w:rsidR="001D16AF" w:rsidRPr="003C6790">
        <w:rPr>
          <w:sz w:val="24"/>
        </w:rPr>
        <w:t xml:space="preserve"> при условии соблюдения условий эксплуатации технических и программных средств.</w:t>
      </w:r>
    </w:p>
    <w:p w:rsidR="00272C15" w:rsidRPr="003C6790" w:rsidRDefault="001D16A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Время восстановления работоспособности программы, вызванного фатальным сбоем (крахом) операционной системы</w:t>
      </w:r>
      <w:r w:rsidR="00272C15" w:rsidRPr="003C6790">
        <w:rPr>
          <w:sz w:val="24"/>
        </w:rPr>
        <w:t>, не должно превышать времени, требуемого на устранение неисправности технических и (или) программных средств (переустановки программных средств)</w:t>
      </w:r>
    </w:p>
    <w:p w:rsidR="00C80861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Отказы программы (некорректная работа) возможна вследствие некорректных действий пользователя при вмешательстве в работу операционной системы. Для повышения отказоустойчивости программы следует обеспечить работу пользователя без предоставления ему административных прав.</w:t>
      </w:r>
    </w:p>
    <w:p w:rsidR="00AB7743" w:rsidRPr="003C6790" w:rsidRDefault="00AB7743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5" w:name="_Toc73541074"/>
      <w:r w:rsidRPr="003C6790">
        <w:rPr>
          <w:szCs w:val="24"/>
        </w:rPr>
        <w:t>Условия эксплуатации</w:t>
      </w:r>
      <w:bookmarkEnd w:id="15"/>
    </w:p>
    <w:p w:rsidR="00272C15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запуск</w:t>
      </w:r>
      <w:r w:rsidR="00CE4B4B" w:rsidRPr="003C6790">
        <w:rPr>
          <w:sz w:val="24"/>
        </w:rPr>
        <w:t>ается на компьютере водителя-сотрудника и (или) сотрудника материально-технического обеспечения. База данных располагается локально на компьютере пользователя или на ином компьютере, доступном по сети передачи данных.</w:t>
      </w:r>
      <w:r w:rsidR="00A67980" w:rsidRPr="003C6790">
        <w:rPr>
          <w:sz w:val="24"/>
        </w:rPr>
        <w:t xml:space="preserve"> Д</w:t>
      </w:r>
      <w:r w:rsidR="00796232" w:rsidRPr="003C6790">
        <w:rPr>
          <w:sz w:val="24"/>
        </w:rPr>
        <w:t>ля работы с базой данных по сети</w:t>
      </w:r>
      <w:r w:rsidR="00A67980" w:rsidRPr="003C6790">
        <w:rPr>
          <w:sz w:val="24"/>
        </w:rPr>
        <w:t xml:space="preserve"> должна существовать устойчивая связь между клиентами и базой данных. </w:t>
      </w:r>
    </w:p>
    <w:p w:rsidR="008F6619" w:rsidRPr="003C6790" w:rsidRDefault="008F661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Запуск программы должен осуществляться по требованию пользователя двойным кликом на исполнительный файл (или его ярлык).</w:t>
      </w: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6" w:name="_Toc73541075"/>
      <w:r w:rsidRPr="003C6790">
        <w:rPr>
          <w:szCs w:val="24"/>
        </w:rPr>
        <w:t>Климатические условия эксплуатации</w:t>
      </w:r>
      <w:bookmarkEnd w:id="16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Специальные условия не требуются.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7" w:name="_Toc73541076"/>
      <w:r w:rsidRPr="003C6790">
        <w:rPr>
          <w:szCs w:val="24"/>
        </w:rPr>
        <w:lastRenderedPageBreak/>
        <w:t>Требования к видам обслуживания</w:t>
      </w:r>
      <w:bookmarkEnd w:id="17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не требует проведения каких-либо видов обслуживания.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8F6619" w:rsidRPr="003C6790" w:rsidRDefault="00796232" w:rsidP="00E46778">
      <w:pPr>
        <w:pStyle w:val="tdtoccaptionlevel3"/>
        <w:ind w:firstLine="709"/>
        <w:rPr>
          <w:szCs w:val="24"/>
        </w:rPr>
      </w:pPr>
      <w:bookmarkStart w:id="18" w:name="_Toc73541077"/>
      <w:r w:rsidRPr="003C6790">
        <w:rPr>
          <w:szCs w:val="24"/>
        </w:rPr>
        <w:t>Требования к численности и квалификации персонала</w:t>
      </w:r>
      <w:bookmarkEnd w:id="18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Установка и настройка программы должна осуществляться системным администратором. Эксплуатацию программы осуществляют водитель-сотрудник и сотрудник материально-технического обеспечения.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Системный администратор должен обладать соответствующими навыками по установке программного обеспечения, установке и настройке СУБД, настройке сети связи между клиентами и СУБД.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Пользователь программы должен обладать базовыми навыками работы с операционной системой.</w:t>
      </w:r>
    </w:p>
    <w:p w:rsidR="00CE4B4B" w:rsidRPr="003C6790" w:rsidRDefault="00CE4B4B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9" w:name="_Toc73541078"/>
      <w:r w:rsidRPr="003C6790">
        <w:rPr>
          <w:szCs w:val="24"/>
        </w:rPr>
        <w:t>Требования к составу и параметрам технических средств</w:t>
      </w:r>
      <w:bookmarkEnd w:id="19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Состав технических средств:</w:t>
      </w:r>
    </w:p>
    <w:p w:rsidR="0069016E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пользователя: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</w:t>
      </w:r>
      <w:r w:rsidR="003F7A49" w:rsidRPr="003C6790">
        <w:rPr>
          <w:sz w:val="24"/>
        </w:rPr>
        <w:t xml:space="preserve"> с тактовой частотой не менее 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 ГГц;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</w:t>
      </w:r>
      <w:r w:rsidR="003F7A49" w:rsidRPr="003C6790">
        <w:rPr>
          <w:sz w:val="24"/>
        </w:rPr>
        <w:t>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для СУБД: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 с тактовой частотой не менее 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 ГГц;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0" w:name="_Toc73541079"/>
      <w:r w:rsidRPr="003C6790">
        <w:rPr>
          <w:szCs w:val="24"/>
        </w:rPr>
        <w:t>Требования к информационной и программной совместимости</w:t>
      </w:r>
      <w:bookmarkEnd w:id="20"/>
    </w:p>
    <w:p w:rsidR="00706327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пользователя обменивается с СУБД сообщениями по сети связи с использованием протокола </w:t>
      </w:r>
      <w:r w:rsidRPr="003C6790">
        <w:rPr>
          <w:sz w:val="24"/>
          <w:lang w:val="en-US"/>
        </w:rPr>
        <w:t>HTTP</w:t>
      </w:r>
      <w:r w:rsidRPr="003C6790">
        <w:rPr>
          <w:sz w:val="24"/>
        </w:rPr>
        <w:t xml:space="preserve">.  </w:t>
      </w:r>
    </w:p>
    <w:p w:rsidR="00337611" w:rsidRPr="003C6790" w:rsidRDefault="00337611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1" w:name="_Toc73541080"/>
      <w:r w:rsidRPr="003C6790">
        <w:rPr>
          <w:szCs w:val="24"/>
        </w:rPr>
        <w:t>Требования к маркировке и упаковке</w:t>
      </w:r>
      <w:bookmarkEnd w:id="21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Программный продукт передается заказчику на цифровом носителе информации. Специальных требований к маркировке не предъявляется. 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2" w:name="_Toc73541081"/>
      <w:r w:rsidRPr="003C6790">
        <w:rPr>
          <w:szCs w:val="24"/>
        </w:rPr>
        <w:t>Требования к транспортированию и хранению</w:t>
      </w:r>
      <w:bookmarkEnd w:id="22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Специальных требований не предъявляется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3" w:name="_Toc73541082"/>
      <w:r w:rsidRPr="003C6790">
        <w:rPr>
          <w:szCs w:val="24"/>
        </w:rPr>
        <w:lastRenderedPageBreak/>
        <w:t>Специальные требования</w:t>
      </w:r>
      <w:bookmarkEnd w:id="23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должна обеспечивать взаимодействие пользователя посредством графического интерфейса, разработанного согласно рекомендациям производителя операционной системы.</w:t>
      </w:r>
    </w:p>
    <w:p w:rsidR="003B13B3" w:rsidRPr="003C6790" w:rsidRDefault="003B13B3" w:rsidP="00262A70">
      <w:pPr>
        <w:pStyle w:val="tdtoccaptionlevel1"/>
        <w:rPr>
          <w:szCs w:val="24"/>
        </w:rPr>
      </w:pPr>
      <w:bookmarkStart w:id="24" w:name="_Toc73541083"/>
      <w:r w:rsidRPr="003C6790">
        <w:rPr>
          <w:szCs w:val="24"/>
        </w:rPr>
        <w:lastRenderedPageBreak/>
        <w:t>Требования к программной документации</w:t>
      </w:r>
      <w:bookmarkEnd w:id="24"/>
    </w:p>
    <w:p w:rsidR="0021367E" w:rsidRPr="003C6790" w:rsidRDefault="0021367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Предварительный состав программной документации:</w:t>
      </w:r>
    </w:p>
    <w:p w:rsidR="0021367E" w:rsidRPr="003C6790" w:rsidRDefault="00803187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техническое задани</w:t>
      </w:r>
      <w:r w:rsidR="00FA559F" w:rsidRPr="003C6790">
        <w:rPr>
          <w:sz w:val="24"/>
        </w:rPr>
        <w:t>е;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программа и методика испытаний;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системного программиста;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оператора;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ведомость эксплуатационных документов;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формуляр.</w:t>
      </w:r>
      <w:bookmarkStart w:id="25" w:name="_GoBack"/>
      <w:bookmarkEnd w:id="25"/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6" w:name="_Toc73541084"/>
      <w:r w:rsidRPr="003C6790">
        <w:rPr>
          <w:szCs w:val="24"/>
          <w:shd w:val="clear" w:color="auto" w:fill="FFFFFF"/>
        </w:rPr>
        <w:lastRenderedPageBreak/>
        <w:t>Т</w:t>
      </w:r>
      <w:r w:rsidR="00A10F1A" w:rsidRPr="003C6790">
        <w:rPr>
          <w:szCs w:val="24"/>
          <w:shd w:val="clear" w:color="auto" w:fill="FFFFFF"/>
        </w:rPr>
        <w:t>ехнико-экономические показатели</w:t>
      </w:r>
      <w:bookmarkEnd w:id="26"/>
    </w:p>
    <w:p w:rsidR="002810B3" w:rsidRPr="003C6790" w:rsidRDefault="002810B3" w:rsidP="004A7607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«Р</w:t>
      </w:r>
      <w:r w:rsidR="00744C4C" w:rsidRPr="003C6790">
        <w:rPr>
          <w:sz w:val="24"/>
        </w:rPr>
        <w:t>С</w:t>
      </w:r>
      <w:r w:rsidRPr="003C6790">
        <w:rPr>
          <w:sz w:val="24"/>
        </w:rPr>
        <w:t>Т-</w:t>
      </w:r>
      <w:r w:rsidR="00744C4C" w:rsidRPr="003C6790">
        <w:rPr>
          <w:sz w:val="24"/>
        </w:rPr>
        <w:t>0</w:t>
      </w:r>
      <w:r w:rsidRPr="003C6790">
        <w:rPr>
          <w:sz w:val="24"/>
        </w:rPr>
        <w:t xml:space="preserve">1» предназначена для использования в автомобильных парках и базах материально-технического обеспечения. Скорее всего, программа будет использоваться для заполнения путевых листов и списания ГСМ. В связи с тем, что программа узко-специализирована, увеличение автомобильных парков не ожидается - не стоит ожидать увеличения потребности.  </w:t>
      </w:r>
      <w:r w:rsidR="003122B1" w:rsidRPr="003C6790">
        <w:rPr>
          <w:sz w:val="24"/>
        </w:rPr>
        <w:t xml:space="preserve">В случае бесплатного распространения программы, потребность может вырасти за счет обеспечения гибкости расчетных данных. В результате чего можно добиться увеличения </w:t>
      </w:r>
      <w:r w:rsidR="00DF34DF" w:rsidRPr="003C6790">
        <w:rPr>
          <w:sz w:val="24"/>
        </w:rPr>
        <w:t>экономического</w:t>
      </w:r>
      <w:r w:rsidR="003122B1" w:rsidRPr="003C6790">
        <w:rPr>
          <w:sz w:val="24"/>
        </w:rPr>
        <w:t xml:space="preserve"> эффекта</w:t>
      </w:r>
      <w:r w:rsidR="00DF34DF" w:rsidRPr="003C6790">
        <w:rPr>
          <w:sz w:val="24"/>
        </w:rPr>
        <w:t xml:space="preserve"> за счет платной установки программного обеспечения и осуществления технического сопровождения</w:t>
      </w:r>
      <w:r w:rsidR="003122B1" w:rsidRPr="003C6790">
        <w:rPr>
          <w:sz w:val="24"/>
        </w:rPr>
        <w:t>.</w:t>
      </w: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7" w:name="_Toc73541085"/>
      <w:r w:rsidRPr="003C6790">
        <w:rPr>
          <w:szCs w:val="24"/>
          <w:shd w:val="clear" w:color="auto" w:fill="FFFFFF"/>
        </w:rPr>
        <w:lastRenderedPageBreak/>
        <w:t>С</w:t>
      </w:r>
      <w:r w:rsidR="00A10F1A" w:rsidRPr="003C6790">
        <w:rPr>
          <w:szCs w:val="24"/>
          <w:shd w:val="clear" w:color="auto" w:fill="FFFFFF"/>
        </w:rPr>
        <w:t>тадии и этапы разработки</w:t>
      </w:r>
      <w:bookmarkEnd w:id="27"/>
    </w:p>
    <w:p w:rsidR="00B26C41" w:rsidRPr="003C6790" w:rsidRDefault="00B26C4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Разработка программы должна быть проведена в три стадии:</w:t>
      </w:r>
    </w:p>
    <w:p w:rsidR="00B26C41" w:rsidRPr="003C6790" w:rsidRDefault="00B26C41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Техническое задание;</w:t>
      </w:r>
    </w:p>
    <w:p w:rsidR="00A103BA" w:rsidRPr="003C6790" w:rsidRDefault="00A103BA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Эскизный проект;</w:t>
      </w:r>
    </w:p>
    <w:p w:rsidR="00B26C41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 xml:space="preserve">Технический </w:t>
      </w:r>
      <w:r w:rsidR="009631FB" w:rsidRPr="003C6790">
        <w:rPr>
          <w:sz w:val="24"/>
        </w:rPr>
        <w:t>(</w:t>
      </w:r>
      <w:r w:rsidR="00A103BA" w:rsidRPr="003C6790">
        <w:rPr>
          <w:sz w:val="24"/>
        </w:rPr>
        <w:t xml:space="preserve">и </w:t>
      </w:r>
      <w:r w:rsidRPr="003C6790">
        <w:rPr>
          <w:sz w:val="24"/>
        </w:rPr>
        <w:t>рабочий</w:t>
      </w:r>
      <w:r w:rsidR="009631FB" w:rsidRPr="003C6790">
        <w:rPr>
          <w:sz w:val="24"/>
        </w:rPr>
        <w:t>)</w:t>
      </w:r>
      <w:r w:rsidRPr="003C6790">
        <w:rPr>
          <w:sz w:val="24"/>
        </w:rPr>
        <w:t xml:space="preserve"> проект;</w:t>
      </w:r>
    </w:p>
    <w:p w:rsidR="004210C3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Внедрение</w:t>
      </w:r>
      <w:r w:rsidR="00A103BA" w:rsidRPr="003C6790">
        <w:rPr>
          <w:sz w:val="24"/>
        </w:rPr>
        <w:t>.</w:t>
      </w:r>
    </w:p>
    <w:p w:rsidR="004210C3" w:rsidRPr="003C6790" w:rsidRDefault="009631F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«Техническое задание» должны быть выполнены этапы разработки, согласования и утверждения настоящего технического задания.</w:t>
      </w:r>
    </w:p>
    <w:p w:rsidR="00A103BA" w:rsidRPr="003C6790" w:rsidRDefault="00A103BA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На стадии «Эскизный проект» </w:t>
      </w:r>
      <w:r w:rsidR="0019609E" w:rsidRPr="003C6790">
        <w:rPr>
          <w:sz w:val="24"/>
        </w:rPr>
        <w:t>должны быть выполнены этапы разработки эскизного проекта и его утверждение.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Этап разработки эскизного проекта включает в себя: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предварительная разработка структуры входных и выходных данных;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уточнение методов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общего описания алгоритмов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технико-экономического обоснования.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«Технический (и рабочий) проект» должны быть выполнены перечисленные ниже этапы работ: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утверждение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программы;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программной документации;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испытания программы.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стадии «Внедрение» должен быть выполнен этап «Подготовка и передача программы».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Содержание работ по этапам: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технического задания должны быть выполнены перечисленные ниже работы: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постановка задачи;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техническим средствам;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программе;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стадий, этапов и сроков разработки программы и документации на нее;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согласование и утверждение технического задания.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lastRenderedPageBreak/>
        <w:t>На этапе разработки программы должн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быть выполнен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работ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по </w:t>
      </w:r>
      <w:r w:rsidR="00E20F32" w:rsidRPr="003C6790">
        <w:rPr>
          <w:rFonts w:cs="Arial"/>
          <w:sz w:val="24"/>
        </w:rPr>
        <w:t>написанию программного кода</w:t>
      </w:r>
      <w:r w:rsidRPr="003C6790">
        <w:rPr>
          <w:rFonts w:cs="Arial"/>
          <w:sz w:val="24"/>
        </w:rPr>
        <w:t xml:space="preserve"> (кодировани</w:t>
      </w:r>
      <w:r w:rsidR="00E20F32" w:rsidRPr="003C6790">
        <w:rPr>
          <w:rFonts w:cs="Arial"/>
          <w:sz w:val="24"/>
        </w:rPr>
        <w:t>е</w:t>
      </w:r>
      <w:r w:rsidRPr="003C6790">
        <w:rPr>
          <w:rFonts w:cs="Arial"/>
          <w:sz w:val="24"/>
        </w:rPr>
        <w:t>) и отладке программы.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испытания программы должны быть выполнены перечисленные ниже этапы: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разработка, согласование и утверждение методики испытаний;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проведение предварительных испытаний;</w:t>
      </w:r>
    </w:p>
    <w:p w:rsidR="0094081A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корректировка программы и программной документации по результатам испытаний.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631FB" w:rsidRPr="003C6790" w:rsidRDefault="009631FB" w:rsidP="00E46778">
      <w:pPr>
        <w:pStyle w:val="tdtext"/>
        <w:ind w:firstLine="709"/>
        <w:rPr>
          <w:sz w:val="24"/>
        </w:rPr>
      </w:pPr>
    </w:p>
    <w:p w:rsidR="009631FB" w:rsidRPr="003C6790" w:rsidRDefault="009631FB" w:rsidP="004210C3">
      <w:pPr>
        <w:pStyle w:val="tdtext"/>
        <w:rPr>
          <w:sz w:val="24"/>
        </w:rPr>
      </w:pP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8" w:name="_Toc73541086"/>
      <w:r w:rsidRPr="003C6790">
        <w:rPr>
          <w:szCs w:val="24"/>
          <w:shd w:val="clear" w:color="auto" w:fill="FFFFFF"/>
        </w:rPr>
        <w:lastRenderedPageBreak/>
        <w:t>П</w:t>
      </w:r>
      <w:r w:rsidR="00A10F1A" w:rsidRPr="003C6790">
        <w:rPr>
          <w:szCs w:val="24"/>
          <w:shd w:val="clear" w:color="auto" w:fill="FFFFFF"/>
        </w:rPr>
        <w:t>орядок контроля и приемки</w:t>
      </w:r>
      <w:bookmarkEnd w:id="28"/>
    </w:p>
    <w:p w:rsidR="00CE693F" w:rsidRPr="003C6790" w:rsidRDefault="00CE693F" w:rsidP="00CE693F">
      <w:pPr>
        <w:pStyle w:val="tdtext"/>
        <w:ind w:firstLine="709"/>
        <w:rPr>
          <w:sz w:val="24"/>
        </w:rPr>
      </w:pPr>
      <w:bookmarkStart w:id="29" w:name="_Toc271729715"/>
      <w:bookmarkStart w:id="30" w:name="_Toc298323190"/>
      <w:r w:rsidRPr="003C6790">
        <w:rPr>
          <w:sz w:val="24"/>
        </w:rPr>
        <w:t>Приемо-сдаточные испытания должны проводиться согласно «Программы и методики испытаний» разработанной исполнителем и согласованной заказчиком.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Ход проведения приемо</w:t>
      </w:r>
      <w:r w:rsidR="00744C4C" w:rsidRPr="003C6790">
        <w:rPr>
          <w:sz w:val="24"/>
        </w:rPr>
        <w:t>-сдаточных испытаний документируется</w:t>
      </w:r>
      <w:r w:rsidRPr="003C6790">
        <w:rPr>
          <w:sz w:val="24"/>
        </w:rPr>
        <w:t xml:space="preserve"> в протоколе испытаний</w:t>
      </w:r>
      <w:r w:rsidR="00744C4C" w:rsidRPr="003C6790">
        <w:rPr>
          <w:sz w:val="24"/>
        </w:rPr>
        <w:t>.</w:t>
      </w:r>
    </w:p>
    <w:p w:rsidR="00744C4C" w:rsidRPr="003C6790" w:rsidRDefault="00744C4C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На основании протокола испытаний исполнителем и заказчиком подписывается акт приемки-сдачи программы в эксплуатацию.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</w:p>
    <w:p w:rsidR="00CE693F" w:rsidRPr="003C6790" w:rsidRDefault="00CE693F" w:rsidP="00CE693F">
      <w:pPr>
        <w:pStyle w:val="tdtext"/>
        <w:ind w:firstLine="709"/>
        <w:rPr>
          <w:sz w:val="24"/>
        </w:rPr>
        <w:sectPr w:rsidR="00CE693F" w:rsidRPr="003C6790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9F4394" w:rsidRPr="003C6790" w:rsidRDefault="009F4394" w:rsidP="00D30A24">
      <w:pPr>
        <w:pStyle w:val="tdtocunorderedcaption"/>
        <w:rPr>
          <w:szCs w:val="24"/>
        </w:rPr>
      </w:pPr>
      <w:bookmarkStart w:id="31" w:name="_Toc73541087"/>
      <w:r w:rsidRPr="003C6790">
        <w:rPr>
          <w:szCs w:val="24"/>
        </w:rPr>
        <w:lastRenderedPageBreak/>
        <w:t>Перечень принятых сокращений</w:t>
      </w:r>
      <w:bookmarkEnd w:id="29"/>
      <w:bookmarkEnd w:id="30"/>
      <w:bookmarkEnd w:id="31"/>
    </w:p>
    <w:tbl>
      <w:tblPr>
        <w:tblW w:w="5000" w:type="pct"/>
        <w:tblLayout w:type="fixed"/>
        <w:tblLook w:val="0000"/>
      </w:tblPr>
      <w:tblGrid>
        <w:gridCol w:w="2141"/>
        <w:gridCol w:w="8280"/>
      </w:tblGrid>
      <w:tr w:rsidR="002079E9" w:rsidRPr="003C6790" w:rsidTr="0054087D">
        <w:tc>
          <w:tcPr>
            <w:tcW w:w="2141" w:type="dxa"/>
          </w:tcPr>
          <w:p w:rsidR="00744C4C" w:rsidRPr="003C6790" w:rsidRDefault="00744C4C" w:rsidP="00871A80">
            <w:pPr>
              <w:pStyle w:val="tdtabletext"/>
              <w:rPr>
                <w:sz w:val="24"/>
                <w:lang w:val="en-US"/>
              </w:rPr>
            </w:pPr>
            <w:r w:rsidRPr="003C6790">
              <w:rPr>
                <w:sz w:val="24"/>
              </w:rPr>
              <w:t>ГСМ</w:t>
            </w:r>
          </w:p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СУБД</w:t>
            </w:r>
          </w:p>
        </w:tc>
        <w:tc>
          <w:tcPr>
            <w:tcW w:w="8280" w:type="dxa"/>
          </w:tcPr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горюче-смазочные материалы</w:t>
            </w:r>
          </w:p>
          <w:p w:rsidR="00744C4C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 xml:space="preserve">система управления базами данных </w:t>
            </w:r>
          </w:p>
        </w:tc>
      </w:tr>
      <w:tr w:rsidR="00D367B9" w:rsidRPr="003C6790" w:rsidTr="0054087D">
        <w:tc>
          <w:tcPr>
            <w:tcW w:w="2141" w:type="dxa"/>
          </w:tcPr>
          <w:p w:rsidR="00D367B9" w:rsidRPr="003C6790" w:rsidRDefault="00D367B9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bookmarkEnd w:id="0"/>
    </w:tbl>
    <w:p w:rsidR="00EF248F" w:rsidRPr="003C6790" w:rsidRDefault="00EF248F" w:rsidP="00134F81"/>
    <w:sectPr w:rsidR="00EF248F" w:rsidRPr="003C6790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B18" w:rsidRDefault="00914B18">
      <w:r>
        <w:separator/>
      </w:r>
    </w:p>
    <w:p w:rsidR="00914B18" w:rsidRDefault="00914B18"/>
  </w:endnote>
  <w:endnote w:type="continuationSeparator" w:id="1">
    <w:p w:rsidR="00914B18" w:rsidRDefault="00914B18">
      <w:r>
        <w:continuationSeparator/>
      </w:r>
    </w:p>
    <w:p w:rsidR="00914B18" w:rsidRDefault="00914B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C43D20">
    <w:pPr>
      <w:pStyle w:val="a7"/>
    </w:pPr>
    <w:r>
      <w:rPr>
        <w:noProof/>
        <w:lang w:eastAsia="ru-RU"/>
      </w:rPr>
      <w:pict>
        <v:line id="Line 228" o:spid="_x0000_s2071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1E483A" w:rsidRDefault="00C43D20" w:rsidP="001E483A">
    <w:pPr>
      <w:pStyle w:val="a7"/>
    </w:pPr>
    <w:r>
      <w:rPr>
        <w:noProof/>
        <w:lang w:eastAsia="ru-RU"/>
      </w:rPr>
      <w:pict>
        <v:group id="Группа 12" o:spid="_x0000_s2049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744C4C" w:rsidRPr="009C641F" w:rsidRDefault="00744C4C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069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744C4C" w:rsidRPr="00197CCC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70A11" w:rsidRDefault="00744C4C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53D7A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058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057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056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055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054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053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052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051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744C4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B18" w:rsidRDefault="00914B18">
      <w:r>
        <w:separator/>
      </w:r>
    </w:p>
    <w:p w:rsidR="00914B18" w:rsidRDefault="00914B18"/>
  </w:footnote>
  <w:footnote w:type="continuationSeparator" w:id="1">
    <w:p w:rsidR="00914B18" w:rsidRDefault="00914B18">
      <w:r>
        <w:continuationSeparator/>
      </w:r>
    </w:p>
    <w:p w:rsidR="00914B18" w:rsidRDefault="00914B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C43D20">
    <w:pPr>
      <w:pStyle w:val="a5"/>
      <w:jc w:val="center"/>
    </w:pPr>
    <w:fldSimple w:instr="PAGE   \* MERGEFORMAT">
      <w:r w:rsidR="00744C4C">
        <w:rPr>
          <w:noProof/>
        </w:rPr>
        <w:t>2</w:t>
      </w:r>
    </w:fldSimple>
  </w:p>
  <w:p w:rsidR="00744C4C" w:rsidRDefault="00744C4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B27711" w:rsidRDefault="00C43D20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744C4C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C679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:rsidR="00744C4C" w:rsidRPr="00B27711" w:rsidRDefault="00C43D20" w:rsidP="00A54CED">
    <w:pPr>
      <w:pStyle w:val="a5"/>
      <w:jc w:val="center"/>
      <w:rPr>
        <w:rFonts w:ascii="Arial" w:hAnsi="Arial" w:cs="Arial"/>
        <w:sz w:val="22"/>
        <w:szCs w:val="22"/>
      </w:rPr>
    </w:pPr>
    <w:fldSimple w:instr=" SUBJECT   \* MERGEFORMAT ">
      <w:r w:rsidR="00744C4C">
        <w:rPr>
          <w:rFonts w:ascii="Arial" w:hAnsi="Arial" w:cs="Arial"/>
          <w:sz w:val="22"/>
          <w:szCs w:val="22"/>
        </w:rPr>
        <w:t>ХХХ.ХХХХХХХХ.ХХХХХ-01 90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6616BDD"/>
    <w:multiLevelType w:val="hybridMultilevel"/>
    <w:tmpl w:val="8DFC9120"/>
    <w:lvl w:ilvl="0" w:tplc="FA54E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3D74BCE"/>
    <w:multiLevelType w:val="multilevel"/>
    <w:tmpl w:val="CBF02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6"/>
  </w:num>
  <w:num w:numId="19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stylePaneFormatFilter w:val="4004"/>
  <w:stylePaneSortMethod w:val="0000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23A"/>
    <w:rsid w:val="0003439F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1BE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4944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09E"/>
    <w:rsid w:val="0019637D"/>
    <w:rsid w:val="001979E0"/>
    <w:rsid w:val="00197EE4"/>
    <w:rsid w:val="001A3D9B"/>
    <w:rsid w:val="001A5604"/>
    <w:rsid w:val="001A7F1C"/>
    <w:rsid w:val="001B1E9A"/>
    <w:rsid w:val="001B621A"/>
    <w:rsid w:val="001B695B"/>
    <w:rsid w:val="001C3BFD"/>
    <w:rsid w:val="001C3DA8"/>
    <w:rsid w:val="001C5337"/>
    <w:rsid w:val="001C5A0C"/>
    <w:rsid w:val="001D16AF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367E"/>
    <w:rsid w:val="00213885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2AE4"/>
    <w:rsid w:val="00272C15"/>
    <w:rsid w:val="002734BE"/>
    <w:rsid w:val="002734DA"/>
    <w:rsid w:val="0027529F"/>
    <w:rsid w:val="002803DD"/>
    <w:rsid w:val="002810B3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3FC1"/>
    <w:rsid w:val="002F2E9C"/>
    <w:rsid w:val="002F3561"/>
    <w:rsid w:val="002F5FB3"/>
    <w:rsid w:val="002F7991"/>
    <w:rsid w:val="00300B51"/>
    <w:rsid w:val="00310B4A"/>
    <w:rsid w:val="003115EB"/>
    <w:rsid w:val="003122B1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611"/>
    <w:rsid w:val="00342C91"/>
    <w:rsid w:val="00343950"/>
    <w:rsid w:val="00345D38"/>
    <w:rsid w:val="00346CD8"/>
    <w:rsid w:val="00347BBC"/>
    <w:rsid w:val="00360222"/>
    <w:rsid w:val="00361DE7"/>
    <w:rsid w:val="0036345F"/>
    <w:rsid w:val="00365629"/>
    <w:rsid w:val="003658A3"/>
    <w:rsid w:val="0036760B"/>
    <w:rsid w:val="00367704"/>
    <w:rsid w:val="003701F8"/>
    <w:rsid w:val="0037198E"/>
    <w:rsid w:val="003721C0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6790"/>
    <w:rsid w:val="003D09BE"/>
    <w:rsid w:val="003D56F0"/>
    <w:rsid w:val="003D5AC5"/>
    <w:rsid w:val="003E06B3"/>
    <w:rsid w:val="003E1351"/>
    <w:rsid w:val="003E1DCE"/>
    <w:rsid w:val="003E4B19"/>
    <w:rsid w:val="003F5202"/>
    <w:rsid w:val="003F7A49"/>
    <w:rsid w:val="0040035E"/>
    <w:rsid w:val="00400414"/>
    <w:rsid w:val="00401D1E"/>
    <w:rsid w:val="00402515"/>
    <w:rsid w:val="0040457A"/>
    <w:rsid w:val="004122F6"/>
    <w:rsid w:val="00414CB9"/>
    <w:rsid w:val="00416A47"/>
    <w:rsid w:val="004178E3"/>
    <w:rsid w:val="00417A0B"/>
    <w:rsid w:val="0042097E"/>
    <w:rsid w:val="004210C3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2AA0"/>
    <w:rsid w:val="004862F4"/>
    <w:rsid w:val="00493B7A"/>
    <w:rsid w:val="00495660"/>
    <w:rsid w:val="004A050A"/>
    <w:rsid w:val="004A0C94"/>
    <w:rsid w:val="004A3B3A"/>
    <w:rsid w:val="004A478F"/>
    <w:rsid w:val="004A7607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6854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3EF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335D"/>
    <w:rsid w:val="006140AF"/>
    <w:rsid w:val="00620E9C"/>
    <w:rsid w:val="00621556"/>
    <w:rsid w:val="00626AE4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ADC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16E"/>
    <w:rsid w:val="00690426"/>
    <w:rsid w:val="00693D8B"/>
    <w:rsid w:val="00694AA4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267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E54"/>
    <w:rsid w:val="00706327"/>
    <w:rsid w:val="00713B5C"/>
    <w:rsid w:val="00714547"/>
    <w:rsid w:val="0071526D"/>
    <w:rsid w:val="00715819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C4C"/>
    <w:rsid w:val="00744E85"/>
    <w:rsid w:val="007519B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6232"/>
    <w:rsid w:val="007A07A0"/>
    <w:rsid w:val="007A07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3187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CE6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619"/>
    <w:rsid w:val="009004BB"/>
    <w:rsid w:val="009020DF"/>
    <w:rsid w:val="009051E8"/>
    <w:rsid w:val="00906645"/>
    <w:rsid w:val="00906F33"/>
    <w:rsid w:val="009131D1"/>
    <w:rsid w:val="00913408"/>
    <w:rsid w:val="00914B18"/>
    <w:rsid w:val="0091558D"/>
    <w:rsid w:val="00915A79"/>
    <w:rsid w:val="00920BA6"/>
    <w:rsid w:val="00922DB4"/>
    <w:rsid w:val="009253D1"/>
    <w:rsid w:val="00925885"/>
    <w:rsid w:val="00926D1B"/>
    <w:rsid w:val="00932ACC"/>
    <w:rsid w:val="009366FE"/>
    <w:rsid w:val="009371C1"/>
    <w:rsid w:val="00937389"/>
    <w:rsid w:val="00937F38"/>
    <w:rsid w:val="0094081A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1FB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338"/>
    <w:rsid w:val="00A017A7"/>
    <w:rsid w:val="00A02DAE"/>
    <w:rsid w:val="00A103BA"/>
    <w:rsid w:val="00A10F1A"/>
    <w:rsid w:val="00A12C7A"/>
    <w:rsid w:val="00A23142"/>
    <w:rsid w:val="00A23268"/>
    <w:rsid w:val="00A23422"/>
    <w:rsid w:val="00A2456C"/>
    <w:rsid w:val="00A254F9"/>
    <w:rsid w:val="00A30566"/>
    <w:rsid w:val="00A37DA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28AF"/>
    <w:rsid w:val="00A63ECC"/>
    <w:rsid w:val="00A67980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743"/>
    <w:rsid w:val="00AC1A40"/>
    <w:rsid w:val="00AC74A2"/>
    <w:rsid w:val="00AD285E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41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3BEC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4B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D7F6B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128"/>
    <w:rsid w:val="00C3188E"/>
    <w:rsid w:val="00C328E1"/>
    <w:rsid w:val="00C35626"/>
    <w:rsid w:val="00C35BB1"/>
    <w:rsid w:val="00C3752D"/>
    <w:rsid w:val="00C43D20"/>
    <w:rsid w:val="00C45429"/>
    <w:rsid w:val="00C4788F"/>
    <w:rsid w:val="00C51043"/>
    <w:rsid w:val="00C51F97"/>
    <w:rsid w:val="00C533FD"/>
    <w:rsid w:val="00C5370A"/>
    <w:rsid w:val="00C57C04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861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09D9"/>
    <w:rsid w:val="00CD1898"/>
    <w:rsid w:val="00CD5B3F"/>
    <w:rsid w:val="00CE4B4B"/>
    <w:rsid w:val="00CE69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373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0F8"/>
    <w:rsid w:val="00DD7C0B"/>
    <w:rsid w:val="00DE48D4"/>
    <w:rsid w:val="00DE580A"/>
    <w:rsid w:val="00DE6445"/>
    <w:rsid w:val="00DE6F7E"/>
    <w:rsid w:val="00DF2EAD"/>
    <w:rsid w:val="00DF34DF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F3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286"/>
    <w:rsid w:val="00E423EC"/>
    <w:rsid w:val="00E46778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D7E"/>
    <w:rsid w:val="00E902E3"/>
    <w:rsid w:val="00E90BAF"/>
    <w:rsid w:val="00E95108"/>
    <w:rsid w:val="00E95696"/>
    <w:rsid w:val="00E96DEA"/>
    <w:rsid w:val="00EA165B"/>
    <w:rsid w:val="00EA2FFA"/>
    <w:rsid w:val="00EA718A"/>
    <w:rsid w:val="00EB2B4D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61E"/>
    <w:rsid w:val="00F83818"/>
    <w:rsid w:val="00F842B7"/>
    <w:rsid w:val="00F859BE"/>
    <w:rsid w:val="00F85D71"/>
    <w:rsid w:val="00F8731C"/>
    <w:rsid w:val="00F91C1B"/>
    <w:rsid w:val="00F94C02"/>
    <w:rsid w:val="00F95C4C"/>
    <w:rsid w:val="00FA41EC"/>
    <w:rsid w:val="00FA559F"/>
    <w:rsid w:val="00FA6405"/>
    <w:rsid w:val="00FB2DDD"/>
    <w:rsid w:val="00FB371C"/>
    <w:rsid w:val="00FB4229"/>
    <w:rsid w:val="00FB54C5"/>
    <w:rsid w:val="00FB6CD0"/>
    <w:rsid w:val="00FC13A3"/>
    <w:rsid w:val="00FC4E36"/>
    <w:rsid w:val="00FC570B"/>
    <w:rsid w:val="00FC5D1E"/>
    <w:rsid w:val="00FD1406"/>
    <w:rsid w:val="00FD446D"/>
    <w:rsid w:val="00FD5A57"/>
    <w:rsid w:val="00FD5E3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C442C6-E878-4582-BC37-8CBCCE79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2021-06-03T10:25:00Z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