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4E34FC" w14:textId="6ACEBF32" w:rsidR="009F5F36" w:rsidRDefault="003466D0" w:rsidP="00357BC5">
      <w:pPr>
        <w:jc w:val="center"/>
        <w:rPr>
          <w:b/>
          <w:bCs/>
        </w:rPr>
      </w:pPr>
      <w:r>
        <w:rPr>
          <w:rStyle w:val="FootnoteReference"/>
          <w:b/>
          <w:bCs/>
        </w:rPr>
        <w:footnoteReference w:id="1"/>
      </w:r>
      <w:r w:rsidR="009F5F36" w:rsidRPr="009F5F36">
        <w:rPr>
          <w:b/>
          <w:bCs/>
        </w:rPr>
        <w:t>The Architecture of Stability: A Comprehensive Synthesis of Normalization in Deep Learning</w:t>
      </w:r>
    </w:p>
    <w:p w14:paraId="03CEB724" w14:textId="1B94152C" w:rsidR="009F5F36" w:rsidRDefault="009F5F36" w:rsidP="009F5F36">
      <w:pPr>
        <w:jc w:val="center"/>
        <w:rPr>
          <w:b/>
          <w:bCs/>
        </w:rPr>
      </w:pPr>
    </w:p>
    <w:p w14:paraId="60435A68" w14:textId="2E62B7FE" w:rsidR="009F5F36" w:rsidRPr="009F5F36" w:rsidRDefault="009F5F36" w:rsidP="009F5F36">
      <w:pPr>
        <w:jc w:val="both"/>
        <w:rPr>
          <w:b/>
          <w:bCs/>
        </w:rPr>
      </w:pPr>
    </w:p>
    <w:p w14:paraId="1E116068" w14:textId="77777777" w:rsidR="009F5F36" w:rsidRDefault="009F5F36" w:rsidP="009F5F36">
      <w:pPr>
        <w:jc w:val="both"/>
        <w:rPr>
          <w:b/>
          <w:bCs/>
        </w:rPr>
        <w:sectPr w:rsidR="009F5F36" w:rsidSect="009F5F36">
          <w:pgSz w:w="12240" w:h="15840"/>
          <w:pgMar w:top="1440" w:right="1440" w:bottom="1440" w:left="1440" w:header="720" w:footer="720" w:gutter="0"/>
          <w:cols w:space="720"/>
          <w:docGrid w:linePitch="360"/>
        </w:sectPr>
      </w:pPr>
    </w:p>
    <w:p w14:paraId="41537BFE" w14:textId="77777777" w:rsidR="009F5F36" w:rsidRPr="009F5F36" w:rsidRDefault="009F5F36" w:rsidP="009F5F36">
      <w:pPr>
        <w:jc w:val="both"/>
        <w:rPr>
          <w:b/>
          <w:bCs/>
        </w:rPr>
      </w:pPr>
      <w:r w:rsidRPr="009F5F36">
        <w:rPr>
          <w:b/>
          <w:bCs/>
        </w:rPr>
        <w:t>1. Abstract</w:t>
      </w:r>
    </w:p>
    <w:p w14:paraId="3AC8996A" w14:textId="77777777" w:rsidR="009F5F36" w:rsidRPr="009F5F36" w:rsidRDefault="009F5F36" w:rsidP="009F5F36">
      <w:pPr>
        <w:jc w:val="both"/>
      </w:pPr>
      <w:r w:rsidRPr="009F5F36">
        <w:t>Normalization has evolved from a rudimentary data-scaling preprocessing step into a fundamental architectural component necessary for the optimization of deep neural networks (DNNs). This paper synthesizes insights from five seminal research works to provide a unified framework for understanding normalization. We analyze the transition from classical scaling (Min-Max, Z-score) to dynamic, layer-wise activation normalization (Batch, Layer, Group) and weight-based constraints (Spectral Normalization). By decomposing these methods into their core components—area partitioning, statistical computation, and representation recovery—this synthesis elucidates how normalization mitigates internal covariate shift, smoothens the loss landscape, and stabilizes adversarial training. The result is a definitive guide on how these mechanisms enable the training of deeper, more complex architectures across computer vision, natural language processing, and generative modeling.</w:t>
      </w:r>
    </w:p>
    <w:p w14:paraId="3CB23EB1" w14:textId="77777777" w:rsidR="009F5F36" w:rsidRPr="009F5F36" w:rsidRDefault="009F5F36" w:rsidP="009F5F36">
      <w:pPr>
        <w:jc w:val="both"/>
        <w:rPr>
          <w:b/>
          <w:bCs/>
        </w:rPr>
      </w:pPr>
      <w:r w:rsidRPr="009F5F36">
        <w:rPr>
          <w:b/>
          <w:bCs/>
        </w:rPr>
        <w:t>2. Keywords</w:t>
      </w:r>
    </w:p>
    <w:p w14:paraId="1D1BD535" w14:textId="77777777" w:rsidR="009F5F36" w:rsidRPr="009F5F36" w:rsidRDefault="009F5F36" w:rsidP="009F5F36">
      <w:pPr>
        <w:numPr>
          <w:ilvl w:val="0"/>
          <w:numId w:val="4"/>
        </w:numPr>
        <w:jc w:val="both"/>
      </w:pPr>
      <w:r w:rsidRPr="009F5F36">
        <w:rPr>
          <w:b/>
          <w:bCs/>
        </w:rPr>
        <w:t>Internal Covariate Shift</w:t>
      </w:r>
    </w:p>
    <w:p w14:paraId="4FCF21FA" w14:textId="77777777" w:rsidR="009F5F36" w:rsidRPr="009F5F36" w:rsidRDefault="009F5F36" w:rsidP="009F5F36">
      <w:pPr>
        <w:numPr>
          <w:ilvl w:val="0"/>
          <w:numId w:val="4"/>
        </w:numPr>
        <w:jc w:val="both"/>
      </w:pPr>
      <w:r w:rsidRPr="009F5F36">
        <w:rPr>
          <w:b/>
          <w:bCs/>
        </w:rPr>
        <w:t>Lipschitz Continuity</w:t>
      </w:r>
    </w:p>
    <w:p w14:paraId="585757D9" w14:textId="77777777" w:rsidR="009F5F36" w:rsidRPr="009F5F36" w:rsidRDefault="009F5F36" w:rsidP="009F5F36">
      <w:pPr>
        <w:numPr>
          <w:ilvl w:val="0"/>
          <w:numId w:val="4"/>
        </w:numPr>
        <w:jc w:val="both"/>
      </w:pPr>
      <w:r w:rsidRPr="009F5F36">
        <w:rPr>
          <w:b/>
          <w:bCs/>
        </w:rPr>
        <w:t>Batch Normalization (BN)</w:t>
      </w:r>
    </w:p>
    <w:p w14:paraId="29D20C7B" w14:textId="77777777" w:rsidR="009F5F36" w:rsidRPr="009F5F36" w:rsidRDefault="009F5F36" w:rsidP="009F5F36">
      <w:pPr>
        <w:numPr>
          <w:ilvl w:val="0"/>
          <w:numId w:val="4"/>
        </w:numPr>
        <w:jc w:val="both"/>
      </w:pPr>
      <w:r w:rsidRPr="009F5F36">
        <w:rPr>
          <w:b/>
          <w:bCs/>
        </w:rPr>
        <w:t>Layer Normalization (LN)</w:t>
      </w:r>
    </w:p>
    <w:p w14:paraId="7A358CB1" w14:textId="77777777" w:rsidR="009F5F36" w:rsidRPr="009F5F36" w:rsidRDefault="009F5F36" w:rsidP="009F5F36">
      <w:pPr>
        <w:numPr>
          <w:ilvl w:val="0"/>
          <w:numId w:val="4"/>
        </w:numPr>
        <w:jc w:val="both"/>
      </w:pPr>
      <w:r w:rsidRPr="009F5F36">
        <w:rPr>
          <w:b/>
          <w:bCs/>
        </w:rPr>
        <w:t>Group Normalization (GN)</w:t>
      </w:r>
    </w:p>
    <w:p w14:paraId="73636379" w14:textId="77777777" w:rsidR="009F5F36" w:rsidRPr="009F5F36" w:rsidRDefault="009F5F36" w:rsidP="009F5F36">
      <w:pPr>
        <w:numPr>
          <w:ilvl w:val="0"/>
          <w:numId w:val="4"/>
        </w:numPr>
        <w:jc w:val="both"/>
      </w:pPr>
      <w:r w:rsidRPr="009F5F36">
        <w:rPr>
          <w:b/>
          <w:bCs/>
        </w:rPr>
        <w:t>Spectral Normalization (SN)</w:t>
      </w:r>
    </w:p>
    <w:p w14:paraId="46EC1EDB" w14:textId="77777777" w:rsidR="009F5F36" w:rsidRPr="009F5F36" w:rsidRDefault="009F5F36" w:rsidP="009F5F36">
      <w:pPr>
        <w:numPr>
          <w:ilvl w:val="0"/>
          <w:numId w:val="4"/>
        </w:numPr>
        <w:jc w:val="both"/>
      </w:pPr>
      <w:r w:rsidRPr="009F5F36">
        <w:rPr>
          <w:b/>
          <w:bCs/>
        </w:rPr>
        <w:t>Optimization Landscape</w:t>
      </w:r>
    </w:p>
    <w:p w14:paraId="6B6881CF" w14:textId="77777777" w:rsidR="009F5F36" w:rsidRPr="009F5F36" w:rsidRDefault="009F5F36" w:rsidP="009F5F36">
      <w:pPr>
        <w:numPr>
          <w:ilvl w:val="0"/>
          <w:numId w:val="4"/>
        </w:numPr>
        <w:jc w:val="both"/>
      </w:pPr>
      <w:r w:rsidRPr="009F5F36">
        <w:rPr>
          <w:b/>
          <w:bCs/>
        </w:rPr>
        <w:t>Representation Recovery</w:t>
      </w:r>
    </w:p>
    <w:p w14:paraId="2348E2A1" w14:textId="77777777" w:rsidR="009F5F36" w:rsidRPr="009F5F36" w:rsidRDefault="00000000" w:rsidP="009F5F36">
      <w:pPr>
        <w:jc w:val="both"/>
      </w:pPr>
      <w:r>
        <w:pict w14:anchorId="7BB8E9FE">
          <v:rect id="_x0000_i1025" style="width:0;height:1.5pt" o:hralign="center" o:hrstd="t" o:hr="t" fillcolor="#a0a0a0" stroked="f"/>
        </w:pict>
      </w:r>
    </w:p>
    <w:p w14:paraId="3E2AFADA" w14:textId="77777777" w:rsidR="009F5F36" w:rsidRPr="009F5F36" w:rsidRDefault="009F5F36" w:rsidP="009F5F36">
      <w:pPr>
        <w:jc w:val="both"/>
        <w:rPr>
          <w:b/>
          <w:bCs/>
        </w:rPr>
      </w:pPr>
      <w:r w:rsidRPr="009F5F36">
        <w:rPr>
          <w:b/>
          <w:bCs/>
        </w:rPr>
        <w:t>3. Introduction: The Functional Necessity of Normalization</w:t>
      </w:r>
    </w:p>
    <w:p w14:paraId="11E65829" w14:textId="77777777" w:rsidR="009F5F36" w:rsidRPr="009F5F36" w:rsidRDefault="009F5F36" w:rsidP="009F5F36">
      <w:pPr>
        <w:jc w:val="both"/>
      </w:pPr>
      <w:r w:rsidRPr="009F5F36">
        <w:t xml:space="preserve">Normalization is the process of mapping data from an original range to a standardized range to ensure consistency and improve predictive accuracy. Historically, as noted by </w:t>
      </w:r>
      <w:r w:rsidRPr="009F5F36">
        <w:rPr>
          <w:b/>
          <w:bCs/>
        </w:rPr>
        <w:t>Patro &amp; Sahu (2015)</w:t>
      </w:r>
      <w:r w:rsidRPr="009F5F36">
        <w:t>, normalization was a "preprocessing stage" where techniques like Decimal Scaling and Min-Max normalization were used to prevent features with larger scales from dominating the learning process in traditional algorithms.</w:t>
      </w:r>
    </w:p>
    <w:p w14:paraId="4CD0E400" w14:textId="77777777" w:rsidR="009F5F36" w:rsidRPr="009F5F36" w:rsidRDefault="009F5F36" w:rsidP="009F5F36">
      <w:pPr>
        <w:jc w:val="both"/>
      </w:pPr>
      <w:r w:rsidRPr="009F5F36">
        <w:t xml:space="preserve">However, in the era of </w:t>
      </w:r>
      <w:r w:rsidRPr="009F5F36">
        <w:rPr>
          <w:b/>
          <w:bCs/>
        </w:rPr>
        <w:t>Deep Neural Networks (DNNs)</w:t>
      </w:r>
      <w:r w:rsidRPr="009F5F36">
        <w:t xml:space="preserve">, normalization has shifted from the input level to the architectural level. As gradients propagate through dozens of layers, they are prone to "exploding" or "vanishing." Furthermore, the distribution of inputs to a layer changes constantly as the parameters of preceding layers update—a </w:t>
      </w:r>
      <w:r w:rsidRPr="009F5F36">
        <w:lastRenderedPageBreak/>
        <w:t xml:space="preserve">phenomenon known as </w:t>
      </w:r>
      <w:r w:rsidRPr="009F5F36">
        <w:rPr>
          <w:b/>
          <w:bCs/>
        </w:rPr>
        <w:t>Internal Covariate Shift</w:t>
      </w:r>
      <w:r w:rsidRPr="009F5F36">
        <w:t>. Modern normalization solves this by standardizing the hidden activities of neurons, transforming a rugged, "ill-conditioned" optimization landscape into a smoother, more spherical one. This allows for significantly higher learning rates, faster convergence, and a reduced dependency on meticulous weight initialization.</w:t>
      </w:r>
    </w:p>
    <w:p w14:paraId="04C7BC4E" w14:textId="77777777" w:rsidR="009F5F36" w:rsidRPr="009F5F36" w:rsidRDefault="00000000" w:rsidP="009F5F36">
      <w:pPr>
        <w:jc w:val="both"/>
      </w:pPr>
      <w:r>
        <w:pict w14:anchorId="7FF5B120">
          <v:rect id="_x0000_i1026" style="width:0;height:1.5pt" o:hralign="center" o:hrstd="t" o:hr="t" fillcolor="#a0a0a0" stroked="f"/>
        </w:pict>
      </w:r>
    </w:p>
    <w:p w14:paraId="7D8FA9D0" w14:textId="77777777" w:rsidR="009F5F36" w:rsidRPr="009F5F36" w:rsidRDefault="009F5F36" w:rsidP="009F5F36">
      <w:pPr>
        <w:jc w:val="both"/>
        <w:rPr>
          <w:b/>
          <w:bCs/>
        </w:rPr>
      </w:pPr>
      <w:r w:rsidRPr="009F5F36">
        <w:rPr>
          <w:b/>
          <w:bCs/>
        </w:rPr>
        <w:t>4. Technical Synthesis of Normalization Mechanisms</w:t>
      </w:r>
    </w:p>
    <w:p w14:paraId="0B729A95" w14:textId="77777777" w:rsidR="009F5F36" w:rsidRPr="009F5F36" w:rsidRDefault="009F5F36" w:rsidP="009F5F36">
      <w:pPr>
        <w:jc w:val="both"/>
        <w:rPr>
          <w:b/>
          <w:bCs/>
        </w:rPr>
      </w:pPr>
      <w:r w:rsidRPr="009F5F36">
        <w:rPr>
          <w:b/>
          <w:bCs/>
        </w:rPr>
        <w:t>4.1 The Anatomy of an Activation Normalizer</w:t>
      </w:r>
    </w:p>
    <w:p w14:paraId="46A11015" w14:textId="77777777" w:rsidR="009F5F36" w:rsidRPr="009F5F36" w:rsidRDefault="009F5F36" w:rsidP="009F5F36">
      <w:pPr>
        <w:jc w:val="both"/>
      </w:pPr>
      <w:r w:rsidRPr="009F5F36">
        <w:t xml:space="preserve">According to the unified taxonomy provided by </w:t>
      </w:r>
      <w:r w:rsidRPr="009F5F36">
        <w:rPr>
          <w:b/>
          <w:bCs/>
        </w:rPr>
        <w:t>Huang et al. (2020)</w:t>
      </w:r>
      <w:r w:rsidRPr="009F5F36">
        <w:t>, almost all successful activation normalization methods (BN, LN, GN) follow a three-step pipeline:</w:t>
      </w:r>
    </w:p>
    <w:p w14:paraId="2BF2DA2F" w14:textId="77777777" w:rsidR="009F5F36" w:rsidRPr="009F5F36" w:rsidRDefault="009F5F36" w:rsidP="009F5F36">
      <w:pPr>
        <w:numPr>
          <w:ilvl w:val="0"/>
          <w:numId w:val="5"/>
        </w:numPr>
        <w:jc w:val="both"/>
      </w:pPr>
      <w:r w:rsidRPr="009F5F36">
        <w:rPr>
          <w:b/>
          <w:bCs/>
        </w:rPr>
        <w:t>Normalization Area Partitioning:</w:t>
      </w:r>
      <w:r w:rsidRPr="009F5F36">
        <w:t xml:space="preserve"> Defining the set of neurons $S$ over which the mean ($\mu$) and variance ($\sigma$) are calculated. This is the primary differentiator between methods.</w:t>
      </w:r>
    </w:p>
    <w:p w14:paraId="1EA90DC6" w14:textId="77777777" w:rsidR="009F5F36" w:rsidRPr="009F5F36" w:rsidRDefault="009F5F36" w:rsidP="009F5F36">
      <w:pPr>
        <w:numPr>
          <w:ilvl w:val="0"/>
          <w:numId w:val="5"/>
        </w:numPr>
        <w:jc w:val="both"/>
      </w:pPr>
      <w:r w:rsidRPr="009F5F36">
        <w:rPr>
          <w:b/>
          <w:bCs/>
        </w:rPr>
        <w:t>The Normalization Operation:</w:t>
      </w:r>
      <w:r w:rsidRPr="009F5F36">
        <w:t xml:space="preserve"> The values are standardized: $\hat{x} = \frac{x - \mu}{\sqrt{\sigma^2 + \epsilon}}$.</w:t>
      </w:r>
    </w:p>
    <w:p w14:paraId="56823075" w14:textId="77777777" w:rsidR="009F5F36" w:rsidRPr="009F5F36" w:rsidRDefault="009F5F36" w:rsidP="009F5F36">
      <w:pPr>
        <w:numPr>
          <w:ilvl w:val="0"/>
          <w:numId w:val="5"/>
        </w:numPr>
        <w:jc w:val="both"/>
      </w:pPr>
      <w:r w:rsidRPr="009F5F36">
        <w:rPr>
          <w:b/>
          <w:bCs/>
        </w:rPr>
        <w:t>Representation Recovery:</w:t>
      </w:r>
      <w:r w:rsidRPr="009F5F36">
        <w:t xml:space="preserve"> To ensure the network doesn't lose expressive power, two learnable parameters, $\gamma$ (scale) and $\beta$ </w:t>
      </w:r>
      <w:r w:rsidRPr="009F5F36">
        <w:t>(shift), are introduced: $y = \gamma\hat{x} + \beta$. This allows the network to "undo" the normalization if the identity transform is more optimal for the task.</w:t>
      </w:r>
    </w:p>
    <w:p w14:paraId="5B89D5F0" w14:textId="77777777" w:rsidR="009F5F36" w:rsidRPr="009F5F36" w:rsidRDefault="009F5F36" w:rsidP="009F5F36">
      <w:pPr>
        <w:jc w:val="both"/>
        <w:rPr>
          <w:b/>
          <w:bCs/>
        </w:rPr>
      </w:pPr>
      <w:r w:rsidRPr="009F5F36">
        <w:rPr>
          <w:b/>
          <w:bCs/>
        </w:rPr>
        <w:t>4.2 Batch Normalization (BN) and the Memory Bottleneck</w:t>
      </w:r>
    </w:p>
    <w:p w14:paraId="51E1456F" w14:textId="6B7EF252" w:rsidR="009F5F36" w:rsidRPr="009F5F36" w:rsidRDefault="009F5F36" w:rsidP="009F5F36">
      <w:pPr>
        <w:jc w:val="both"/>
      </w:pPr>
      <w:r w:rsidRPr="009F5F36">
        <w:t xml:space="preserve">BN calculates statistics across the mini-batch dimension. While it is the "milestone" technique that enabled the training of </w:t>
      </w:r>
      <w:proofErr w:type="spellStart"/>
      <w:r w:rsidRPr="009F5F36">
        <w:t>ResNets</w:t>
      </w:r>
      <w:proofErr w:type="spellEnd"/>
      <w:r w:rsidRPr="009F5F36">
        <w:t xml:space="preserve"> and Inception models, </w:t>
      </w:r>
      <w:r w:rsidRPr="009F5F36">
        <w:rPr>
          <w:b/>
          <w:bCs/>
        </w:rPr>
        <w:t>Wu &amp; He (2018)</w:t>
      </w:r>
      <w:r w:rsidRPr="009F5F36">
        <w:t xml:space="preserve"> highlight its fatal </w:t>
      </w:r>
      <w:proofErr w:type="spellStart"/>
      <w:r w:rsidRPr="009F5F36">
        <w:t>fl</w:t>
      </w:r>
      <w:proofErr w:type="spellEnd"/>
      <w:r w:rsidR="001D041F">
        <w:rPr>
          <w:rStyle w:val="FootnoteReference"/>
        </w:rPr>
        <w:footnoteReference w:id="2"/>
      </w:r>
      <w:r w:rsidRPr="009F5F36">
        <w:t xml:space="preserve">aw: </w:t>
      </w:r>
      <w:r w:rsidRPr="009F5F36">
        <w:rPr>
          <w:b/>
          <w:bCs/>
        </w:rPr>
        <w:t>Batch Size Dependency</w:t>
      </w:r>
      <w:r w:rsidRPr="009F5F36">
        <w:t>. When the batch size is small (e.g., in high-resolution object detection or video processing), the estimated mean and variance become highly inaccurate, leading to a significant increase in error rates. BN also introduces a discrepancy between training (using batch stats) and inference (using moving averages), which can lead to inconsistent model behavior.</w:t>
      </w:r>
    </w:p>
    <w:p w14:paraId="4A3186B8" w14:textId="77777777" w:rsidR="009F5F36" w:rsidRPr="009F5F36" w:rsidRDefault="009F5F36" w:rsidP="009F5F36">
      <w:pPr>
        <w:jc w:val="both"/>
        <w:rPr>
          <w:b/>
          <w:bCs/>
        </w:rPr>
      </w:pPr>
      <w:r w:rsidRPr="009F5F36">
        <w:rPr>
          <w:b/>
          <w:bCs/>
        </w:rPr>
        <w:t>4.3 Alternative Partitioning: Layer (LN) and Group (GN)</w:t>
      </w:r>
    </w:p>
    <w:p w14:paraId="690A210D" w14:textId="77777777" w:rsidR="009F5F36" w:rsidRPr="009F5F36" w:rsidRDefault="009F5F36" w:rsidP="009F5F36">
      <w:pPr>
        <w:numPr>
          <w:ilvl w:val="0"/>
          <w:numId w:val="6"/>
        </w:numPr>
        <w:jc w:val="both"/>
      </w:pPr>
      <w:r w:rsidRPr="009F5F36">
        <w:rPr>
          <w:b/>
          <w:bCs/>
        </w:rPr>
        <w:t>Layer Normalization (LN):</w:t>
      </w:r>
      <w:r w:rsidRPr="009F5F36">
        <w:t xml:space="preserve"> Proposed by </w:t>
      </w:r>
      <w:r w:rsidRPr="009F5F36">
        <w:rPr>
          <w:b/>
          <w:bCs/>
        </w:rPr>
        <w:t>Ba et al. (2016)</w:t>
      </w:r>
      <w:r w:rsidRPr="009F5F36">
        <w:t xml:space="preserve">, LN calculates statistics across all neurons in a single layer for each individual training case. This makes it entirely independent of the batch size and the activities of other samples. It is exceptionally effective for </w:t>
      </w:r>
      <w:r w:rsidRPr="009F5F36">
        <w:rPr>
          <w:b/>
          <w:bCs/>
        </w:rPr>
        <w:t>Recurrent Neural Networks (RNNs)</w:t>
      </w:r>
      <w:r w:rsidRPr="009F5F36">
        <w:t xml:space="preserve"> and Transformers, where the "time-step" </w:t>
      </w:r>
      <w:r w:rsidRPr="009F5F36">
        <w:lastRenderedPageBreak/>
        <w:t>nature of data makes BN difficult to implement.</w:t>
      </w:r>
    </w:p>
    <w:p w14:paraId="44A2D241" w14:textId="77777777" w:rsidR="009F5F36" w:rsidRPr="009F5F36" w:rsidRDefault="009F5F36" w:rsidP="009F5F36">
      <w:pPr>
        <w:numPr>
          <w:ilvl w:val="0"/>
          <w:numId w:val="6"/>
        </w:numPr>
        <w:jc w:val="both"/>
      </w:pPr>
      <w:r w:rsidRPr="009F5F36">
        <w:rPr>
          <w:b/>
          <w:bCs/>
        </w:rPr>
        <w:t>Group Normalization (GN):</w:t>
      </w:r>
      <w:r w:rsidRPr="009F5F36">
        <w:t xml:space="preserve"> GN (Wu &amp; He, 2018) strikes a balance by dividing channels into groups and normalizing within each group. Unlike BN, GN’s accuracy is stable across a wide range of batch sizes. On ResNet-50, GN achieves a 10.6% lower error than BN when using a batch size of 2, making it the industry standard for memory-intensive computer vision tasks.</w:t>
      </w:r>
    </w:p>
    <w:p w14:paraId="3568DBFC" w14:textId="77777777" w:rsidR="009F5F36" w:rsidRPr="009F5F36" w:rsidRDefault="009F5F36" w:rsidP="009F5F36">
      <w:pPr>
        <w:jc w:val="both"/>
        <w:rPr>
          <w:b/>
          <w:bCs/>
        </w:rPr>
      </w:pPr>
      <w:r w:rsidRPr="009F5F36">
        <w:rPr>
          <w:b/>
          <w:bCs/>
        </w:rPr>
        <w:t>4.4 Stabilizing Adversaries: Spectral Normalization (SN)</w:t>
      </w:r>
    </w:p>
    <w:p w14:paraId="12CC1A42" w14:textId="77777777" w:rsidR="009F5F36" w:rsidRPr="009F5F36" w:rsidRDefault="009F5F36" w:rsidP="009F5F36">
      <w:pPr>
        <w:jc w:val="both"/>
      </w:pPr>
      <w:r w:rsidRPr="009F5F36">
        <w:t xml:space="preserve">While the above methods normalize </w:t>
      </w:r>
      <w:r w:rsidRPr="009F5F36">
        <w:rPr>
          <w:i/>
          <w:iCs/>
        </w:rPr>
        <w:t>activations</w:t>
      </w:r>
      <w:r w:rsidRPr="009F5F36">
        <w:t xml:space="preserve">, </w:t>
      </w:r>
      <w:proofErr w:type="spellStart"/>
      <w:r w:rsidRPr="009F5F36">
        <w:rPr>
          <w:b/>
          <w:bCs/>
        </w:rPr>
        <w:t>Miyato</w:t>
      </w:r>
      <w:proofErr w:type="spellEnd"/>
      <w:r w:rsidRPr="009F5F36">
        <w:rPr>
          <w:b/>
          <w:bCs/>
        </w:rPr>
        <w:t xml:space="preserve"> et al. (2018)</w:t>
      </w:r>
      <w:r w:rsidRPr="009F5F36">
        <w:t xml:space="preserve"> introduced </w:t>
      </w:r>
      <w:r w:rsidRPr="009F5F36">
        <w:rPr>
          <w:b/>
          <w:bCs/>
        </w:rPr>
        <w:t>Spectral Normalization</w:t>
      </w:r>
      <w:r w:rsidRPr="009F5F36">
        <w:t xml:space="preserve"> to normalize the </w:t>
      </w:r>
      <w:r w:rsidRPr="009F5F36">
        <w:rPr>
          <w:i/>
          <w:iCs/>
        </w:rPr>
        <w:t>weights</w:t>
      </w:r>
      <w:r w:rsidRPr="009F5F36">
        <w:t xml:space="preserve"> ($W$) of the network. In Generative Adversarial Networks (GANs), the discriminator often becomes too powerful or unstable. SN constrains the spectral norm (the largest singular value) of the weight matrices to be equal to 1. This ensures that the discriminator satisfies the </w:t>
      </w:r>
      <w:r w:rsidRPr="009F5F36">
        <w:rPr>
          <w:b/>
          <w:bCs/>
        </w:rPr>
        <w:t>Lipschitz continuous</w:t>
      </w:r>
      <w:r w:rsidRPr="009F5F36">
        <w:t xml:space="preserve"> condition, preventing gradient explosions and ensuring a smoother gradient flow to the generator.</w:t>
      </w:r>
    </w:p>
    <w:p w14:paraId="3B1802EF" w14:textId="77777777" w:rsidR="009F5F36" w:rsidRPr="009F5F36" w:rsidRDefault="00000000" w:rsidP="009F5F36">
      <w:pPr>
        <w:jc w:val="both"/>
      </w:pPr>
      <w:r>
        <w:pict w14:anchorId="0F992292">
          <v:rect id="_x0000_i1027" style="width:0;height:1.5pt" o:hralign="center" o:hrstd="t" o:hr="t" fillcolor="#a0a0a0" stroked="f"/>
        </w:pict>
      </w:r>
    </w:p>
    <w:p w14:paraId="23356411" w14:textId="77777777" w:rsidR="009F5F36" w:rsidRPr="009F5F36" w:rsidRDefault="009F5F36" w:rsidP="009F5F36">
      <w:pPr>
        <w:jc w:val="both"/>
        <w:rPr>
          <w:b/>
          <w:bCs/>
        </w:rPr>
      </w:pPr>
      <w:r w:rsidRPr="009F5F36">
        <w:rPr>
          <w:b/>
          <w:bCs/>
        </w:rPr>
        <w:t>5. Comparative Analysis: Pros, Cons, and Theoretical Trade-offs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6"/>
        <w:gridCol w:w="1030"/>
        <w:gridCol w:w="1225"/>
        <w:gridCol w:w="1203"/>
      </w:tblGrid>
      <w:tr w:rsidR="009F5F36" w:rsidRPr="009F5F36" w14:paraId="7E10E72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4CA077" w14:textId="77777777" w:rsidR="009F5F36" w:rsidRPr="009F5F36" w:rsidRDefault="009F5F36" w:rsidP="009F5F36">
            <w:pPr>
              <w:jc w:val="both"/>
            </w:pPr>
            <w:r w:rsidRPr="009F5F36">
              <w:rPr>
                <w:b/>
                <w:bCs/>
              </w:rPr>
              <w:t>Technique</w:t>
            </w:r>
          </w:p>
        </w:tc>
        <w:tc>
          <w:tcPr>
            <w:tcW w:w="0" w:type="auto"/>
            <w:tcBorders>
              <w:top w:val="single" w:sz="6" w:space="0" w:color="auto"/>
              <w:left w:val="single" w:sz="6" w:space="0" w:color="auto"/>
              <w:bottom w:val="single" w:sz="6" w:space="0" w:color="auto"/>
              <w:right w:val="single" w:sz="6" w:space="0" w:color="auto"/>
            </w:tcBorders>
            <w:vAlign w:val="center"/>
            <w:hideMark/>
          </w:tcPr>
          <w:p w14:paraId="60B4C939" w14:textId="77777777" w:rsidR="009F5F36" w:rsidRPr="009F5F36" w:rsidRDefault="009F5F36" w:rsidP="009F5F36">
            <w:pPr>
              <w:jc w:val="both"/>
            </w:pPr>
            <w:r w:rsidRPr="009F5F36">
              <w:rPr>
                <w:b/>
                <w:bCs/>
              </w:rPr>
              <w:t>Theoretical Foundation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298814D" w14:textId="77777777" w:rsidR="009F5F36" w:rsidRPr="009F5F36" w:rsidRDefault="009F5F36" w:rsidP="009F5F36">
            <w:pPr>
              <w:jc w:val="both"/>
            </w:pPr>
            <w:r w:rsidRPr="009F5F36">
              <w:rPr>
                <w:b/>
                <w:bCs/>
              </w:rPr>
              <w:t>Primary Strength</w:t>
            </w:r>
          </w:p>
        </w:tc>
        <w:tc>
          <w:tcPr>
            <w:tcW w:w="0" w:type="auto"/>
            <w:tcBorders>
              <w:top w:val="single" w:sz="6" w:space="0" w:color="auto"/>
              <w:left w:val="single" w:sz="6" w:space="0" w:color="auto"/>
              <w:bottom w:val="single" w:sz="6" w:space="0" w:color="auto"/>
              <w:right w:val="single" w:sz="6" w:space="0" w:color="auto"/>
            </w:tcBorders>
            <w:vAlign w:val="center"/>
            <w:hideMark/>
          </w:tcPr>
          <w:p w14:paraId="7FA52888" w14:textId="77777777" w:rsidR="009F5F36" w:rsidRPr="009F5F36" w:rsidRDefault="009F5F36" w:rsidP="009F5F36">
            <w:pPr>
              <w:jc w:val="both"/>
            </w:pPr>
            <w:r w:rsidRPr="009F5F36">
              <w:rPr>
                <w:b/>
                <w:bCs/>
              </w:rPr>
              <w:t>Critical Weakness</w:t>
            </w:r>
          </w:p>
        </w:tc>
      </w:tr>
      <w:tr w:rsidR="009F5F36" w:rsidRPr="009F5F36" w14:paraId="1DFFE93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97FFBC2" w14:textId="77777777" w:rsidR="009F5F36" w:rsidRPr="009F5F36" w:rsidRDefault="009F5F36" w:rsidP="009F5F36">
            <w:pPr>
              <w:jc w:val="both"/>
            </w:pPr>
            <w:r w:rsidRPr="009F5F36">
              <w:rPr>
                <w:b/>
                <w:bCs/>
              </w:rPr>
              <w:t>Traditional Scaling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DEA3DC8" w14:textId="77777777" w:rsidR="009F5F36" w:rsidRPr="009F5F36" w:rsidRDefault="009F5F36" w:rsidP="009F5F36">
            <w:pPr>
              <w:jc w:val="both"/>
            </w:pPr>
            <w:r w:rsidRPr="009F5F36">
              <w:t>Statistical Mapping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E51089B" w14:textId="77777777" w:rsidR="009F5F36" w:rsidRPr="009F5F36" w:rsidRDefault="009F5F36" w:rsidP="009F5F36">
            <w:pPr>
              <w:jc w:val="both"/>
            </w:pPr>
            <w:r w:rsidRPr="009F5F36">
              <w:t>Computational simplicity.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15C41254" w14:textId="77777777" w:rsidR="009F5F36" w:rsidRPr="009F5F36" w:rsidRDefault="009F5F36" w:rsidP="009F5F36">
            <w:pPr>
              <w:jc w:val="both"/>
            </w:pPr>
            <w:r w:rsidRPr="009F5F36">
              <w:t>Static; cannot adapt to the dynamic shifts of deep layers.</w:t>
            </w:r>
          </w:p>
        </w:tc>
      </w:tr>
      <w:tr w:rsidR="009F5F36" w:rsidRPr="009F5F36" w14:paraId="2091B5A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A20458" w14:textId="77777777" w:rsidR="009F5F36" w:rsidRPr="009F5F36" w:rsidRDefault="009F5F36" w:rsidP="009F5F36">
            <w:pPr>
              <w:jc w:val="both"/>
            </w:pPr>
            <w:r w:rsidRPr="009F5F36">
              <w:rPr>
                <w:b/>
                <w:bCs/>
              </w:rPr>
              <w:t>Batch Norm (BN)</w:t>
            </w:r>
          </w:p>
        </w:tc>
        <w:tc>
          <w:tcPr>
            <w:tcW w:w="0" w:type="auto"/>
            <w:tcBorders>
              <w:top w:val="single" w:sz="6" w:space="0" w:color="auto"/>
              <w:left w:val="single" w:sz="6" w:space="0" w:color="auto"/>
              <w:bottom w:val="single" w:sz="6" w:space="0" w:color="auto"/>
              <w:right w:val="single" w:sz="6" w:space="0" w:color="auto"/>
            </w:tcBorders>
            <w:vAlign w:val="center"/>
            <w:hideMark/>
          </w:tcPr>
          <w:p w14:paraId="4B8D945C" w14:textId="77777777" w:rsidR="009F5F36" w:rsidRPr="009F5F36" w:rsidRDefault="009F5F36" w:rsidP="009F5F36">
            <w:pPr>
              <w:jc w:val="both"/>
            </w:pPr>
            <w:r w:rsidRPr="009F5F36">
              <w:t>Mini-batch Statistics</w:t>
            </w:r>
          </w:p>
        </w:tc>
        <w:tc>
          <w:tcPr>
            <w:tcW w:w="0" w:type="auto"/>
            <w:tcBorders>
              <w:top w:val="single" w:sz="6" w:space="0" w:color="auto"/>
              <w:left w:val="single" w:sz="6" w:space="0" w:color="auto"/>
              <w:bottom w:val="single" w:sz="6" w:space="0" w:color="auto"/>
              <w:right w:val="single" w:sz="6" w:space="0" w:color="auto"/>
            </w:tcBorders>
            <w:vAlign w:val="center"/>
            <w:hideMark/>
          </w:tcPr>
          <w:p w14:paraId="118178F2" w14:textId="77777777" w:rsidR="009F5F36" w:rsidRPr="009F5F36" w:rsidRDefault="009F5F36" w:rsidP="009F5F36">
            <w:pPr>
              <w:jc w:val="both"/>
            </w:pPr>
            <w:r w:rsidRPr="009F5F36">
              <w:t xml:space="preserve">Faster convergence; acts as a </w:t>
            </w:r>
            <w:proofErr w:type="spellStart"/>
            <w:r w:rsidRPr="009F5F36">
              <w:t>regularizer</w:t>
            </w:r>
            <w:proofErr w:type="spellEnd"/>
            <w:r w:rsidRPr="009F5F36">
              <w:t xml:space="preserve"> through batch noise.</w:t>
            </w:r>
          </w:p>
        </w:tc>
        <w:tc>
          <w:tcPr>
            <w:tcW w:w="0" w:type="auto"/>
            <w:tcBorders>
              <w:top w:val="single" w:sz="6" w:space="0" w:color="auto"/>
              <w:left w:val="single" w:sz="6" w:space="0" w:color="auto"/>
              <w:bottom w:val="single" w:sz="6" w:space="0" w:color="auto"/>
              <w:right w:val="single" w:sz="6" w:space="0" w:color="auto"/>
            </w:tcBorders>
            <w:vAlign w:val="center"/>
            <w:hideMark/>
          </w:tcPr>
          <w:p w14:paraId="2F09A87E" w14:textId="77777777" w:rsidR="009F5F36" w:rsidRPr="009F5F36" w:rsidRDefault="009F5F36" w:rsidP="009F5F36">
            <w:pPr>
              <w:jc w:val="both"/>
            </w:pPr>
            <w:r w:rsidRPr="009F5F36">
              <w:t>Performance collapses with small batches; problematic for RNNs.</w:t>
            </w:r>
          </w:p>
        </w:tc>
      </w:tr>
      <w:tr w:rsidR="009F5F36" w:rsidRPr="009F5F36" w14:paraId="475EBCC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0F387C4" w14:textId="77777777" w:rsidR="009F5F36" w:rsidRPr="009F5F36" w:rsidRDefault="009F5F36" w:rsidP="009F5F36">
            <w:pPr>
              <w:jc w:val="both"/>
            </w:pPr>
            <w:r w:rsidRPr="009F5F36">
              <w:rPr>
                <w:b/>
                <w:bCs/>
              </w:rPr>
              <w:t>Layer Norm (LN)</w:t>
            </w:r>
          </w:p>
        </w:tc>
        <w:tc>
          <w:tcPr>
            <w:tcW w:w="0" w:type="auto"/>
            <w:tcBorders>
              <w:top w:val="single" w:sz="6" w:space="0" w:color="auto"/>
              <w:left w:val="single" w:sz="6" w:space="0" w:color="auto"/>
              <w:bottom w:val="single" w:sz="6" w:space="0" w:color="auto"/>
              <w:right w:val="single" w:sz="6" w:space="0" w:color="auto"/>
            </w:tcBorders>
            <w:vAlign w:val="center"/>
            <w:hideMark/>
          </w:tcPr>
          <w:p w14:paraId="69AC1C7A" w14:textId="77777777" w:rsidR="009F5F36" w:rsidRPr="009F5F36" w:rsidRDefault="009F5F36" w:rsidP="009F5F36">
            <w:pPr>
              <w:jc w:val="both"/>
            </w:pPr>
            <w:r w:rsidRPr="009F5F36">
              <w:t>Horizontal (Layer) Partition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ACD6FF5" w14:textId="77777777" w:rsidR="009F5F36" w:rsidRPr="009F5F36" w:rsidRDefault="009F5F36" w:rsidP="009F5F36">
            <w:pPr>
              <w:jc w:val="both"/>
            </w:pPr>
            <w:r w:rsidRPr="009F5F36">
              <w:t>Batch-size independent; superior for NLP and sequential data.</w:t>
            </w:r>
          </w:p>
        </w:tc>
        <w:tc>
          <w:tcPr>
            <w:tcW w:w="0" w:type="auto"/>
            <w:tcBorders>
              <w:top w:val="single" w:sz="6" w:space="0" w:color="auto"/>
              <w:left w:val="single" w:sz="6" w:space="0" w:color="auto"/>
              <w:bottom w:val="single" w:sz="6" w:space="0" w:color="auto"/>
              <w:right w:val="single" w:sz="6" w:space="0" w:color="auto"/>
            </w:tcBorders>
            <w:vAlign w:val="center"/>
            <w:hideMark/>
          </w:tcPr>
          <w:p w14:paraId="064CB23F" w14:textId="77777777" w:rsidR="009F5F36" w:rsidRPr="009F5F36" w:rsidRDefault="009F5F36" w:rsidP="009F5F36">
            <w:pPr>
              <w:jc w:val="both"/>
            </w:pPr>
            <w:r w:rsidRPr="009F5F36">
              <w:t>Can underperform BN in deep Convolutional Neural Networks (CNNs).</w:t>
            </w:r>
          </w:p>
        </w:tc>
      </w:tr>
      <w:tr w:rsidR="009F5F36" w:rsidRPr="009F5F36" w14:paraId="7A06C1F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87C15DA" w14:textId="77777777" w:rsidR="009F5F36" w:rsidRPr="009F5F36" w:rsidRDefault="009F5F36" w:rsidP="009F5F36">
            <w:pPr>
              <w:jc w:val="both"/>
            </w:pPr>
            <w:r w:rsidRPr="009F5F36">
              <w:rPr>
                <w:b/>
                <w:bCs/>
              </w:rPr>
              <w:t>Group Norm (GN)</w:t>
            </w:r>
          </w:p>
        </w:tc>
        <w:tc>
          <w:tcPr>
            <w:tcW w:w="0" w:type="auto"/>
            <w:tcBorders>
              <w:top w:val="single" w:sz="6" w:space="0" w:color="auto"/>
              <w:left w:val="single" w:sz="6" w:space="0" w:color="auto"/>
              <w:bottom w:val="single" w:sz="6" w:space="0" w:color="auto"/>
              <w:right w:val="single" w:sz="6" w:space="0" w:color="auto"/>
            </w:tcBorders>
            <w:vAlign w:val="center"/>
            <w:hideMark/>
          </w:tcPr>
          <w:p w14:paraId="6B5F0896" w14:textId="77777777" w:rsidR="009F5F36" w:rsidRPr="009F5F36" w:rsidRDefault="009F5F36" w:rsidP="009F5F36">
            <w:pPr>
              <w:jc w:val="both"/>
            </w:pPr>
            <w:r w:rsidRPr="009F5F36">
              <w:t>Spatial/Group Partition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7D94BC4" w14:textId="77777777" w:rsidR="009F5F36" w:rsidRPr="009F5F36" w:rsidRDefault="009F5F36" w:rsidP="009F5F36">
            <w:pPr>
              <w:jc w:val="both"/>
            </w:pPr>
            <w:r w:rsidRPr="009F5F36">
              <w:t>High performance in small-batch scenarios (Medical/Video).</w:t>
            </w:r>
          </w:p>
        </w:tc>
        <w:tc>
          <w:tcPr>
            <w:tcW w:w="0" w:type="auto"/>
            <w:tcBorders>
              <w:top w:val="single" w:sz="6" w:space="0" w:color="auto"/>
              <w:left w:val="single" w:sz="6" w:space="0" w:color="auto"/>
              <w:bottom w:val="single" w:sz="6" w:space="0" w:color="auto"/>
              <w:right w:val="single" w:sz="6" w:space="0" w:color="auto"/>
            </w:tcBorders>
            <w:vAlign w:val="center"/>
            <w:hideMark/>
          </w:tcPr>
          <w:p w14:paraId="263C7FFD" w14:textId="77777777" w:rsidR="009F5F36" w:rsidRPr="009F5F36" w:rsidRDefault="009F5F36" w:rsidP="009F5F36">
            <w:pPr>
              <w:jc w:val="both"/>
            </w:pPr>
            <w:r w:rsidRPr="009F5F36">
              <w:t>Requires an extra hyperparameter (number of groups).</w:t>
            </w:r>
          </w:p>
        </w:tc>
      </w:tr>
      <w:tr w:rsidR="009F5F36" w:rsidRPr="009F5F36" w14:paraId="1324FBF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4BC4EB" w14:textId="77777777" w:rsidR="009F5F36" w:rsidRPr="009F5F36" w:rsidRDefault="009F5F36" w:rsidP="009F5F36">
            <w:pPr>
              <w:jc w:val="both"/>
            </w:pPr>
            <w:r w:rsidRPr="009F5F36">
              <w:rPr>
                <w:b/>
                <w:bCs/>
              </w:rPr>
              <w:lastRenderedPageBreak/>
              <w:t>Spectral Norm (SN)</w:t>
            </w:r>
          </w:p>
        </w:tc>
        <w:tc>
          <w:tcPr>
            <w:tcW w:w="0" w:type="auto"/>
            <w:tcBorders>
              <w:top w:val="single" w:sz="6" w:space="0" w:color="auto"/>
              <w:left w:val="single" w:sz="6" w:space="0" w:color="auto"/>
              <w:bottom w:val="single" w:sz="6" w:space="0" w:color="auto"/>
              <w:right w:val="single" w:sz="6" w:space="0" w:color="auto"/>
            </w:tcBorders>
            <w:vAlign w:val="center"/>
            <w:hideMark/>
          </w:tcPr>
          <w:p w14:paraId="25CE6163" w14:textId="77777777" w:rsidR="009F5F36" w:rsidRPr="009F5F36" w:rsidRDefault="009F5F36" w:rsidP="009F5F36">
            <w:pPr>
              <w:jc w:val="both"/>
            </w:pPr>
            <w:r w:rsidRPr="009F5F36">
              <w:t>Lipschitz Continuity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797AC9BC" w14:textId="77777777" w:rsidR="009F5F36" w:rsidRPr="009F5F36" w:rsidRDefault="009F5F36" w:rsidP="009F5F36">
            <w:pPr>
              <w:jc w:val="both"/>
            </w:pPr>
            <w:r w:rsidRPr="009F5F36">
              <w:t>Theoretical stability for GANs; computationally efficient.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769A2907" w14:textId="77777777" w:rsidR="009F5F36" w:rsidRPr="009F5F36" w:rsidRDefault="009F5F36" w:rsidP="009F5F36">
            <w:pPr>
              <w:jc w:val="both"/>
            </w:pPr>
            <w:r w:rsidRPr="009F5F36">
              <w:t>Primarily restricted to weights; not a general activation scaler.</w:t>
            </w:r>
          </w:p>
        </w:tc>
      </w:tr>
    </w:tbl>
    <w:p w14:paraId="0CE1EC8C" w14:textId="77777777" w:rsidR="009F5F36" w:rsidRPr="009F5F36" w:rsidRDefault="00000000" w:rsidP="009F5F36">
      <w:pPr>
        <w:jc w:val="both"/>
      </w:pPr>
      <w:r>
        <w:pict w14:anchorId="00CFFDF4">
          <v:rect id="_x0000_i1028" style="width:0;height:1.5pt" o:hralign="center" o:hrstd="t" o:hr="t" fillcolor="#a0a0a0" stroked="f"/>
        </w:pict>
      </w:r>
    </w:p>
    <w:p w14:paraId="523C7FD7" w14:textId="77777777" w:rsidR="009F5F36" w:rsidRPr="009F5F36" w:rsidRDefault="009F5F36" w:rsidP="009F5F36">
      <w:pPr>
        <w:jc w:val="both"/>
        <w:rPr>
          <w:b/>
          <w:bCs/>
        </w:rPr>
      </w:pPr>
      <w:r w:rsidRPr="009F5F36">
        <w:rPr>
          <w:b/>
          <w:bCs/>
        </w:rPr>
        <w:t>6. Summary and Conclusion: The Future of Optimization</w:t>
      </w:r>
    </w:p>
    <w:p w14:paraId="760131CB" w14:textId="72F7F3E5" w:rsidR="009F5F36" w:rsidRPr="009F5F36" w:rsidRDefault="009F5F36" w:rsidP="009F5F36">
      <w:pPr>
        <w:jc w:val="both"/>
      </w:pPr>
      <w:r w:rsidRPr="009F5F36">
        <w:t xml:space="preserve">The collective findings of these research papers demonstrate that normalization is not merely a "trick" for faster training, but a mathematical necessity for deep architecture </w:t>
      </w:r>
      <w:proofErr w:type="spellStart"/>
      <w:r w:rsidRPr="009F5F36">
        <w:t>stabili</w:t>
      </w:r>
      <w:proofErr w:type="spellEnd"/>
      <w:r w:rsidR="001D041F">
        <w:rPr>
          <w:rStyle w:val="FootnoteReference"/>
        </w:rPr>
        <w:footnoteReference w:id="3"/>
      </w:r>
      <w:r w:rsidRPr="009F5F36">
        <w:t>ty. The field has moved from global preprocessing (Patro &amp; Sahu) to batch-dependent optimization (BN), and finally to batch-independent, instance-level stability (LN and GN).</w:t>
      </w:r>
    </w:p>
    <w:p w14:paraId="26E03F05" w14:textId="77777777" w:rsidR="009F5F36" w:rsidRPr="009F5F36" w:rsidRDefault="009F5F36" w:rsidP="009F5F36">
      <w:pPr>
        <w:jc w:val="both"/>
      </w:pPr>
      <w:r w:rsidRPr="009F5F36">
        <w:rPr>
          <w:b/>
          <w:bCs/>
        </w:rPr>
        <w:t>Key Takeaways:</w:t>
      </w:r>
    </w:p>
    <w:p w14:paraId="03DE697A" w14:textId="77777777" w:rsidR="009F5F36" w:rsidRPr="009F5F36" w:rsidRDefault="009F5F36" w:rsidP="009F5F36">
      <w:pPr>
        <w:numPr>
          <w:ilvl w:val="0"/>
          <w:numId w:val="7"/>
        </w:numPr>
        <w:jc w:val="both"/>
      </w:pPr>
      <w:r w:rsidRPr="009F5F36">
        <w:rPr>
          <w:b/>
          <w:bCs/>
        </w:rPr>
        <w:t>Optimization Landscape:</w:t>
      </w:r>
      <w:r w:rsidRPr="009F5F36">
        <w:t xml:space="preserve"> Normalization "reshapes" the loss function, making it easier for gradient descent to find global minima.</w:t>
      </w:r>
    </w:p>
    <w:p w14:paraId="06812BD0" w14:textId="77777777" w:rsidR="009F5F36" w:rsidRDefault="009F5F36" w:rsidP="009F5F36">
      <w:pPr>
        <w:numPr>
          <w:ilvl w:val="0"/>
          <w:numId w:val="7"/>
        </w:numPr>
        <w:jc w:val="both"/>
      </w:pPr>
      <w:r w:rsidRPr="009F5F36">
        <w:rPr>
          <w:b/>
          <w:bCs/>
        </w:rPr>
        <w:t>Independence:</w:t>
      </w:r>
      <w:r w:rsidRPr="009F5F36">
        <w:t xml:space="preserve"> The shift toward Layer and Group normalization has freed researchers from the </w:t>
      </w:r>
      <w:r w:rsidRPr="009F5F36">
        <w:t>constraints of hardware-limited batch sizes.</w:t>
      </w:r>
    </w:p>
    <w:p w14:paraId="247A90C6" w14:textId="77777777" w:rsidR="009F5F36" w:rsidRPr="009F5F36" w:rsidRDefault="009F5F36" w:rsidP="003466D0">
      <w:pPr>
        <w:numPr>
          <w:ilvl w:val="0"/>
          <w:numId w:val="7"/>
        </w:numPr>
        <w:jc w:val="both"/>
      </w:pPr>
      <w:r w:rsidRPr="003466D0">
        <w:rPr>
          <w:b/>
          <w:bCs/>
        </w:rPr>
        <w:t>Weight vs. Activation:</w:t>
      </w:r>
      <w:r w:rsidRPr="009F5F36">
        <w:t xml:space="preserve"> While activation normalization (BN/LN/GN) controls internal covariate shift, weight normalization (SN) provides theoretical guarantees on the smoothness of the model's functions.</w:t>
      </w:r>
    </w:p>
    <w:p w14:paraId="0D10B6FA" w14:textId="62D826BC" w:rsidR="003466D0" w:rsidRDefault="009F5F36" w:rsidP="009F5F36">
      <w:pPr>
        <w:jc w:val="both"/>
      </w:pPr>
      <w:r w:rsidRPr="009F5F36">
        <w:t>Ultimately, the choice of normalization is context-dependent: BN for large-scale classification, LN for sequential NLP, GN for high-resolution vision, and SN for stable generative modeling.</w:t>
      </w:r>
    </w:p>
    <w:p w14:paraId="1952E958" w14:textId="77777777" w:rsidR="003466D0" w:rsidRDefault="003466D0">
      <w:r>
        <w:br w:type="page"/>
      </w:r>
    </w:p>
    <w:p w14:paraId="19B3C974" w14:textId="4BB46E5B" w:rsidR="003466D0" w:rsidRDefault="003466D0" w:rsidP="003466D0">
      <w:pPr>
        <w:pStyle w:val="Bibliography"/>
      </w:pPr>
      <w:r>
        <w:lastRenderedPageBreak/>
        <w:t xml:space="preserve">References </w:t>
      </w:r>
      <w:r w:rsidR="001D041F">
        <w:rPr>
          <w:rStyle w:val="FootnoteReference"/>
        </w:rPr>
        <w:footnoteReference w:id="4"/>
      </w:r>
    </w:p>
    <w:p w14:paraId="2B9A3D55" w14:textId="77777777" w:rsidR="00556AD8" w:rsidRPr="00556AD8" w:rsidRDefault="003466D0" w:rsidP="00556AD8">
      <w:pPr>
        <w:pStyle w:val="Bibliography"/>
      </w:pPr>
      <w:r>
        <w:fldChar w:fldCharType="begin"/>
      </w:r>
      <w:r w:rsidR="00556AD8">
        <w:instrText xml:space="preserve"> ADDIN ZOTERO_BIBL {"uncited":[],"omitted":[],"custom":[]} CSL_BIBLIOGRAPHY </w:instrText>
      </w:r>
      <w:r>
        <w:fldChar w:fldCharType="separate"/>
      </w:r>
      <w:r w:rsidR="00556AD8" w:rsidRPr="00556AD8">
        <w:t>Ba, Jimmy Lei, Jamie Ryan Kiros, and Geoffrey E. Hinton. “Layer Normalization.” arXiv:1607.06450. Preprint, arXiv, July 21, 2016. https://doi.org/10.48550/arXiv.1607.06450.</w:t>
      </w:r>
    </w:p>
    <w:p w14:paraId="572FA0FF" w14:textId="77777777" w:rsidR="00556AD8" w:rsidRPr="00556AD8" w:rsidRDefault="00556AD8" w:rsidP="00556AD8">
      <w:pPr>
        <w:pStyle w:val="Bibliography"/>
      </w:pPr>
      <w:r w:rsidRPr="00556AD8">
        <w:t xml:space="preserve">Deatrick, Janet A., Kathleen A. Knafl, and Carol Murphy-Moore. “Clarifying the Concept of Normalization.” </w:t>
      </w:r>
      <w:r w:rsidRPr="00556AD8">
        <w:rPr>
          <w:i/>
          <w:iCs/>
        </w:rPr>
        <w:t>Image: The Journal of Nursing Scholarship</w:t>
      </w:r>
      <w:r w:rsidRPr="00556AD8">
        <w:t xml:space="preserve"> 31, no. 3 (1999): 209–14. https://doi.org/10.1111/j.1547-5069.1999.tb00482.x.</w:t>
      </w:r>
    </w:p>
    <w:p w14:paraId="59403C8A" w14:textId="77777777" w:rsidR="00556AD8" w:rsidRPr="00556AD8" w:rsidRDefault="00556AD8" w:rsidP="00556AD8">
      <w:pPr>
        <w:pStyle w:val="Bibliography"/>
      </w:pPr>
      <w:r w:rsidRPr="00556AD8">
        <w:t>Patro, S. Gopal Krishna, and Kishore Kumar Sahu. “Normalization: A Preprocessing Stage.” arXiv:1503.06462. Preprint, arXiv, March 19, 2015. https://doi.org/10.48550/arXiv.1503.06462.</w:t>
      </w:r>
    </w:p>
    <w:p w14:paraId="105F552D" w14:textId="77777777" w:rsidR="00556AD8" w:rsidRPr="00556AD8" w:rsidRDefault="00556AD8" w:rsidP="00556AD8">
      <w:pPr>
        <w:pStyle w:val="Bibliography"/>
      </w:pPr>
      <w:r w:rsidRPr="00556AD8">
        <w:t xml:space="preserve">Wu, Yuxin, and Kaiming He. </w:t>
      </w:r>
      <w:r w:rsidRPr="00556AD8">
        <w:rPr>
          <w:i/>
          <w:iCs/>
        </w:rPr>
        <w:t>Group Normalization</w:t>
      </w:r>
      <w:r w:rsidRPr="00556AD8">
        <w:t>. n.d.</w:t>
      </w:r>
    </w:p>
    <w:p w14:paraId="63703618" w14:textId="79D9EEA0" w:rsidR="009F5F36" w:rsidRPr="009F5F36" w:rsidRDefault="003466D0" w:rsidP="009F5F36">
      <w:pPr>
        <w:jc w:val="both"/>
      </w:pPr>
      <w:r>
        <w:fldChar w:fldCharType="end"/>
      </w:r>
    </w:p>
    <w:p w14:paraId="3380DBD9" w14:textId="77777777" w:rsidR="00EE770C" w:rsidRPr="009F5F36" w:rsidRDefault="00EE770C" w:rsidP="009F5F36">
      <w:pPr>
        <w:jc w:val="both"/>
      </w:pPr>
    </w:p>
    <w:sectPr w:rsidR="00EE770C" w:rsidRPr="009F5F36" w:rsidSect="009F5F36">
      <w:type w:val="continuous"/>
      <w:pgSz w:w="12240" w:h="15840"/>
      <w:pgMar w:top="1440" w:right="1440" w:bottom="1440" w:left="144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15AFAC" w14:textId="77777777" w:rsidR="00C10FEA" w:rsidRDefault="00C10FEA" w:rsidP="003466D0">
      <w:pPr>
        <w:spacing w:after="0" w:line="240" w:lineRule="auto"/>
      </w:pPr>
      <w:r>
        <w:separator/>
      </w:r>
    </w:p>
  </w:endnote>
  <w:endnote w:type="continuationSeparator" w:id="0">
    <w:p w14:paraId="6FEF284E" w14:textId="77777777" w:rsidR="00C10FEA" w:rsidRDefault="00C10FEA" w:rsidP="003466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64B1AC" w14:textId="77777777" w:rsidR="00C10FEA" w:rsidRDefault="00C10FEA" w:rsidP="003466D0">
      <w:pPr>
        <w:spacing w:after="0" w:line="240" w:lineRule="auto"/>
      </w:pPr>
      <w:r>
        <w:separator/>
      </w:r>
    </w:p>
  </w:footnote>
  <w:footnote w:type="continuationSeparator" w:id="0">
    <w:p w14:paraId="3C144E7A" w14:textId="77777777" w:rsidR="00C10FEA" w:rsidRDefault="00C10FEA" w:rsidP="003466D0">
      <w:pPr>
        <w:spacing w:after="0" w:line="240" w:lineRule="auto"/>
      </w:pPr>
      <w:r>
        <w:continuationSeparator/>
      </w:r>
    </w:p>
  </w:footnote>
  <w:footnote w:id="1">
    <w:p w14:paraId="1889E0C5" w14:textId="28722FF9" w:rsidR="003466D0" w:rsidRDefault="003466D0">
      <w:pPr>
        <w:pStyle w:val="FootnoteText"/>
      </w:pPr>
      <w:r>
        <w:rPr>
          <w:rStyle w:val="FootnoteReference"/>
        </w:rPr>
        <w:footnoteRef/>
      </w:r>
      <w:r>
        <w:t xml:space="preserve"> </w:t>
      </w:r>
      <w:r>
        <w:fldChar w:fldCharType="begin"/>
      </w:r>
      <w:r>
        <w:instrText xml:space="preserve"> ADDIN ZOTERO_ITEM CSL_CITATION {"citationID":"rEJEfz9m","properties":{"formattedCitation":"Janet A. Deatrick et al., \\uc0\\u8220{}Clarifying the Concept of Normalization,\\uc0\\u8221{} {\\i{}Image: The Journal of Nursing Scholarship} 31, no. 3 (1999): 209\\uc0\\u8211{}14, https://doi.org/10.1111/j.1547-5069.1999.tb00482.x.","plainCitation":"Janet A. Deatrick et al., “Clarifying the Concept of Normalization,” Image: The Journal of Nursing Scholarship 31, no. 3 (1999): 209–14, https://doi.org/10.1111/j.1547-5069.1999.tb00482.x.","noteIndex":1},"citationItems":[{"id":1,"uris":["http://zotero.org/users/local/01bMMu2V/items/LG6KICMC"],"itemData":{"id":1,"type":"article-journal","abstract":"Purpose: To refine and develop the concept of normalization. While firsthand accounts, clinical observation, and numerous studies suggest that parents of children with chronic conditions often strive to lead a normal family life, the distinguishing characteristics of normalization need to be understood before evaluating the feasibility and consequences. Conceptualizing these efforts as normalization, researchers have identified cognitive and behavioral strategies used by parents to normalize family life. Sources: A total of 33 articles representing 14 studies were selected through computer-assisted searches of the topic from 1966-1997, hand searches of nursing journals from 1970-1997, and analysis of reference lists. Key words in the searches included: adaptation, psychological; chronic disease; disabled persons; family; child; adolescence; parent-child relations; models, psychological; and nursing theory. Articles (N= 19) that applied and expanded the concept comprised the sample used in the analysis. A normalization construct was used. Methods: Attributes for normalization were inductively derived based on the most recent methods for refining and developing concepts, with special attention to how family and illness affect manifestations of normalization. Findings: The attributes identified in 1986 remained relevant, but required revision and expansion to reflect a contemporary understanding of normalization. Unique manifestations of normalization were identified within certain illness and family contexts. Conclusions: Knowledge synthesized from previous studies can enhance how normalization is used in future qualitative and quantitative research and in theory development. Findings indicate the need for researchers to build on the current state of knowledge and continue to further develop the concept. Understanding the findings can also sensitize clinicians to the complex process of normalizing when a child has a chronic condition.","container-title":"Image: the Journal of Nursing Scholarship","DOI":"10.1111/j.1547-5069.1999.tb00482.x","ISSN":"1547-5069","issue":"3","language":"en","note":"_eprint: https://sigmapubs.onlinelibrary.wiley.com/doi/pdf/10.1111/j.1547-5069.1999.tb00482.x","page":"209-214","source":"Wiley Online Library","title":"Clarifying the Concept of Normalization","volume":"31","author":[{"family":"Deatrick","given":"Janet A."},{"family":"Knafl","given":"Kathleen A."},{"family":"Murphy-Moore","given":"Carol"}],"issued":{"date-parts":[["1999"]]}}}],"schema":"https://github.com/citation-style-language/schema/raw/master/csl-citation.json"} </w:instrText>
      </w:r>
      <w:r>
        <w:fldChar w:fldCharType="separate"/>
      </w:r>
      <w:r w:rsidRPr="003466D0">
        <w:rPr>
          <w:rFonts w:ascii="Calibri" w:hAnsi="Calibri" w:cs="Calibri"/>
          <w:kern w:val="0"/>
        </w:rPr>
        <w:t xml:space="preserve">Janet A. Deatrick et al., “Clarifying the Concept of Normalization,” </w:t>
      </w:r>
      <w:r w:rsidRPr="003466D0">
        <w:rPr>
          <w:rFonts w:ascii="Calibri" w:hAnsi="Calibri" w:cs="Calibri"/>
          <w:i/>
          <w:iCs/>
          <w:kern w:val="0"/>
        </w:rPr>
        <w:t>Image: The Journal of Nursing Scholarship</w:t>
      </w:r>
      <w:r w:rsidRPr="003466D0">
        <w:rPr>
          <w:rFonts w:ascii="Calibri" w:hAnsi="Calibri" w:cs="Calibri"/>
          <w:kern w:val="0"/>
        </w:rPr>
        <w:t xml:space="preserve"> 31, no. 3 (1999): 209–14, https://doi.org/10.1111/j.1547-5069.1999.tb00482.x.</w:t>
      </w:r>
      <w:r>
        <w:fldChar w:fldCharType="end"/>
      </w:r>
    </w:p>
  </w:footnote>
  <w:footnote w:id="2">
    <w:p w14:paraId="00231726" w14:textId="11A7F1E7" w:rsidR="001D041F" w:rsidRDefault="001D041F">
      <w:pPr>
        <w:pStyle w:val="FootnoteText"/>
      </w:pPr>
      <w:r>
        <w:rPr>
          <w:rStyle w:val="FootnoteReference"/>
        </w:rPr>
        <w:footnoteRef/>
      </w:r>
      <w:r>
        <w:t xml:space="preserve"> </w:t>
      </w:r>
      <w:r>
        <w:fldChar w:fldCharType="begin"/>
      </w:r>
      <w:r>
        <w:instrText xml:space="preserve"> ADDIN ZOTERO_ITEM CSL_CITATION {"citationID":"1F7fzdn8","properties":{"formattedCitation":"S. Gopal Krishna Patro and Kishore Kumar Sahu, \\uc0\\u8220{}Normalization: A Preprocessing Stage,\\uc0\\u8221{} arXiv:1503.06462, preprint, arXiv, March 19, 2015, https://doi.org/10.48550/arXiv.1503.06462.","plainCitation":"S. Gopal Krishna Patro and Kishore Kumar Sahu, “Normalization: A Preprocessing Stage,” arXiv:1503.06462, preprint, arXiv, March 19, 2015, https://doi.org/10.48550/arXiv.1503.06462.","noteIndex":2},"citationItems":[{"id":5,"uris":["http://zotero.org/users/local/01bMMu2V/items/7YV8UC3L"],"itemData":{"id":5,"type":"article","abstract":"As we know that the normalization is a pre-processing stage of any type problem statement. Especially normalization takes important role in the field of soft computing, cloud computing etc. for manipulation of data like scale down or scale up the range of data before it becomes used for further stage. There are so many normalization techniques are there namely Min-Max normalization, Z-score normalization and Decimal scaling normalization. So by referring these normalization techniques we are going to propose one new normalization technique namely, Integer Scaling Normalization. And we are going to show our proposed normalization technique using various data sets.","DOI":"10.48550/arXiv.1503.06462","note":"arXiv:1503.06462 [cs]","number":"arXiv:1503.06462","publisher":"arXiv","source":"arXiv.org","title":"Normalization: A Preprocessing Stage","title-short":"Normalization","URL":"http://arxiv.org/abs/1503.06462","author":[{"family":"Patro","given":"S. Gopal Krishna"},{"family":"Sahu","given":"Kishore Kumar"}],"accessed":{"date-parts":[["2026",2,6]]},"issued":{"date-parts":[["2015",3,19]]}}}],"schema":"https://github.com/citation-style-language/schema/raw/master/csl-citation.json"} </w:instrText>
      </w:r>
      <w:r>
        <w:fldChar w:fldCharType="separate"/>
      </w:r>
      <w:r w:rsidRPr="001D041F">
        <w:rPr>
          <w:rFonts w:ascii="Calibri" w:hAnsi="Calibri" w:cs="Calibri"/>
          <w:kern w:val="0"/>
        </w:rPr>
        <w:t>S. Gopal Krishna Patro and Kishore Kumar Sahu, “Normalization: A Preprocessing Stage,” arXiv:1503.06462, preprint, arXiv, March 19, 2015, https://doi.org/10.48550/arXiv.1503.06462.</w:t>
      </w:r>
      <w:r>
        <w:fldChar w:fldCharType="end"/>
      </w:r>
    </w:p>
  </w:footnote>
  <w:footnote w:id="3">
    <w:p w14:paraId="2D549540" w14:textId="7C85712C" w:rsidR="001D041F" w:rsidRDefault="001D041F">
      <w:pPr>
        <w:pStyle w:val="FootnoteText"/>
      </w:pPr>
      <w:r>
        <w:rPr>
          <w:rStyle w:val="FootnoteReference"/>
        </w:rPr>
        <w:footnoteRef/>
      </w:r>
      <w:r>
        <w:t xml:space="preserve"> </w:t>
      </w:r>
      <w:r>
        <w:fldChar w:fldCharType="begin"/>
      </w:r>
      <w:r>
        <w:instrText xml:space="preserve"> ADDIN ZOTERO_ITEM CSL_CITATION {"citationID":"uoDbOvwq","properties":{"formattedCitation":"Jimmy Lei Ba et al., \\uc0\\u8220{}Layer Normalization,\\uc0\\u8221{} arXiv:1607.06450, preprint, arXiv, July 21, 2016, https://doi.org/10.48550/arXiv.1607.06450.","plainCitation":"Jimmy Lei Ba et al., “Layer Normalization,” arXiv:1607.06450, preprint, arXiv, July 21, 2016, https://doi.org/10.48550/arXiv.1607.06450.","noteIndex":3},"citationItems":[{"id":9,"uris":["http://zotero.org/users/local/01bMMu2V/items/NSJA4M3T"],"itemData":{"id":9,"type":"article","abstract":"Training state-of-the-art, deep neural networks is computationally expensive. One way to reduce the training time is to normalize the activities of the neurons. A recently introduced technique called batch normalization uses the distribution of the summed input to a neuron over a mini-batch of training cases to compute a mean and variance which are then used to normalize the summed input to that neuron on each training case. This significantly reduces the training time in feed-forward neural networks. However, the effect of batch normalization is dependent on the mini-batch size and it is not obvious how to apply it to recurrent neural networks. In this paper, we transpose batch normalization into layer normalization by computing the mean and variance used for normalization from all of the summed inputs to the neurons in a layer on a single training case. Like batch normalization, we also give each neuron its own adaptive bias and gain which are applied after the normalization but before the non-linearity. Unlike batch normalization, layer normalization performs exactly the same computation at training and test times. It is also straightforward to apply to recurrent neural networks by computing the normalization statistics separately at each time step. Layer normalization is very effective at stabilizing the hidden state dynamics in recurrent networks. Empirically, we show that layer normalization can substantially reduce the training time compared with previously published techniques.","DOI":"10.48550/arXiv.1607.06450","note":"arXiv:1607.06450 [stat]","number":"arXiv:1607.06450","publisher":"arXiv","source":"arXiv.org","title":"Layer Normalization","URL":"http://arxiv.org/abs/1607.06450","author":[{"family":"Ba","given":"Jimmy Lei"},{"family":"Kiros","given":"Jamie Ryan"},{"family":"Hinton","given":"Geoffrey E."}],"accessed":{"date-parts":[["2026",2,6]]},"issued":{"date-parts":[["2016",7,21]]}}}],"schema":"https://github.com/citation-style-language/schema/raw/master/csl-citation.json"} </w:instrText>
      </w:r>
      <w:r>
        <w:fldChar w:fldCharType="separate"/>
      </w:r>
      <w:r w:rsidRPr="001D041F">
        <w:rPr>
          <w:rFonts w:ascii="Calibri" w:hAnsi="Calibri" w:cs="Calibri"/>
          <w:kern w:val="0"/>
        </w:rPr>
        <w:t>Jimmy Lei Ba et al., “Layer Normalization,” arXiv:1607.06450, preprint, arXiv, July 21, 2016, https://doi.org/10.48550/arXiv.1607.06450.</w:t>
      </w:r>
      <w:r>
        <w:fldChar w:fldCharType="end"/>
      </w:r>
    </w:p>
  </w:footnote>
  <w:footnote w:id="4">
    <w:p w14:paraId="63FA7BE3" w14:textId="4C18B906" w:rsidR="001D041F" w:rsidRDefault="001D041F">
      <w:pPr>
        <w:pStyle w:val="FootnoteText"/>
      </w:pPr>
      <w:r>
        <w:rPr>
          <w:rStyle w:val="FootnoteReference"/>
        </w:rPr>
        <w:footnoteRef/>
      </w:r>
      <w:r>
        <w:t xml:space="preserve"> </w:t>
      </w:r>
      <w:r>
        <w:fldChar w:fldCharType="begin"/>
      </w:r>
      <w:r>
        <w:instrText xml:space="preserve"> ADDIN ZOTERO_ITEM CSL_CITATION {"citationID":"AI97xxVc","properties":{"formattedCitation":"Yuxin Wu and Kaiming He, {\\i{}Group Normalization}, n.d.","plainCitation":"Yuxin Wu and Kaiming He, Group Normalization, n.d.","noteIndex":2},"citationItems":[{"id":4,"uris":["http://zotero.org/users/local/01bMMu2V/items/SLBLB8X8"],"itemData":{"id":4,"type":"article-journal","abstract":"Batch Normalization (BN) is a milestone technique in the development of deep learning, enabling various networks to train. However, normalizing along the batch dimension introduces problems — BN’s error increases rapidly when the batch size becomes smaller, caused by inaccurate batch statistics estimation. This limits BN’s usage for training larger models and transferring features to computer vision tasks including detection, segmentation, and video, which require small batches constrained by memory consumption. In this paper, we present Group Normalization (GN) as a simple alternative to BN. GN divides the channels into groups and computes within each group the mean and variance for normalization. GN’s computation is independent of batch sizes, and its accuracy is stable in a wide range of batch sizes. On ResNet-50 trained in ImageNet, GN has 10.6% lower error than its BN counterpart when using a batch size of 2; when using typical batch sizes, GN is comparably good with BN and outperforms other normalization variants. Moreover, GN can be naturally transferred from pre-training to ﬁne-tuning. GN can outperform its BN-based counterparts for object detection and segmentation in COCO, and for video classiﬁcation in Kinetics, showing that GN can eﬀectively replace the powerful BN in a variety of tasks. GN can be easily implemented by a few lines of code.","language":"en","source":"Zotero","title":"Group Normalization","author":[{"family":"Wu","given":"Yuxin"},{"family":"He","given":"Kaiming"}]}}],"schema":"https://github.com/citation-style-language/schema/raw/master/csl-citation.json"} </w:instrText>
      </w:r>
      <w:r>
        <w:fldChar w:fldCharType="separate"/>
      </w:r>
      <w:r w:rsidRPr="001D041F">
        <w:rPr>
          <w:rFonts w:ascii="Calibri" w:hAnsi="Calibri" w:cs="Calibri"/>
          <w:kern w:val="0"/>
        </w:rPr>
        <w:t xml:space="preserve">Yuxin Wu and Kaiming He, </w:t>
      </w:r>
      <w:r w:rsidRPr="001D041F">
        <w:rPr>
          <w:rFonts w:ascii="Calibri" w:hAnsi="Calibri" w:cs="Calibri"/>
          <w:i/>
          <w:iCs/>
          <w:kern w:val="0"/>
        </w:rPr>
        <w:t>Group Normalization</w:t>
      </w:r>
      <w:r w:rsidRPr="001D041F">
        <w:rPr>
          <w:rFonts w:ascii="Calibri" w:hAnsi="Calibri" w:cs="Calibri"/>
          <w:kern w:val="0"/>
        </w:rPr>
        <w:t>, n.d.</w:t>
      </w:r>
      <w:r>
        <w:fldChar w:fldCharType="end"/>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C2219F"/>
    <w:multiLevelType w:val="multilevel"/>
    <w:tmpl w:val="0C906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71508F"/>
    <w:multiLevelType w:val="multilevel"/>
    <w:tmpl w:val="833AB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FD5208"/>
    <w:multiLevelType w:val="multilevel"/>
    <w:tmpl w:val="662C2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DC5D43"/>
    <w:multiLevelType w:val="multilevel"/>
    <w:tmpl w:val="22E29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D93D29"/>
    <w:multiLevelType w:val="multilevel"/>
    <w:tmpl w:val="0818C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BA68AB"/>
    <w:multiLevelType w:val="multilevel"/>
    <w:tmpl w:val="46B05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FB03CC"/>
    <w:multiLevelType w:val="multilevel"/>
    <w:tmpl w:val="AFA02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7282924">
    <w:abstractNumId w:val="2"/>
  </w:num>
  <w:num w:numId="2" w16cid:durableId="1632057575">
    <w:abstractNumId w:val="6"/>
  </w:num>
  <w:num w:numId="3" w16cid:durableId="396057402">
    <w:abstractNumId w:val="5"/>
  </w:num>
  <w:num w:numId="4" w16cid:durableId="1277251256">
    <w:abstractNumId w:val="3"/>
  </w:num>
  <w:num w:numId="5" w16cid:durableId="1940217480">
    <w:abstractNumId w:val="1"/>
  </w:num>
  <w:num w:numId="6" w16cid:durableId="1727024256">
    <w:abstractNumId w:val="4"/>
  </w:num>
  <w:num w:numId="7" w16cid:durableId="1299785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0AA8"/>
    <w:rsid w:val="001222B4"/>
    <w:rsid w:val="001745A2"/>
    <w:rsid w:val="001C0AA8"/>
    <w:rsid w:val="001D041F"/>
    <w:rsid w:val="003466D0"/>
    <w:rsid w:val="00357BC5"/>
    <w:rsid w:val="00556AD8"/>
    <w:rsid w:val="006F125F"/>
    <w:rsid w:val="007B43C7"/>
    <w:rsid w:val="0084610A"/>
    <w:rsid w:val="009005A2"/>
    <w:rsid w:val="009F5F36"/>
    <w:rsid w:val="00AA1758"/>
    <w:rsid w:val="00C10FEA"/>
    <w:rsid w:val="00ED4DDE"/>
    <w:rsid w:val="00EE770C"/>
    <w:rsid w:val="00EF5F79"/>
    <w:rsid w:val="00F31C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EE134"/>
  <w15:chartTrackingRefBased/>
  <w15:docId w15:val="{7BEF39CE-C2FE-4878-9037-0AD57B758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0A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C0A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C0A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1C0A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0A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0A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0A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0A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0A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0A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C0A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C0A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1C0A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0A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0A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0A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0A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0AA8"/>
    <w:rPr>
      <w:rFonts w:eastAsiaTheme="majorEastAsia" w:cstheme="majorBidi"/>
      <w:color w:val="272727" w:themeColor="text1" w:themeTint="D8"/>
    </w:rPr>
  </w:style>
  <w:style w:type="paragraph" w:styleId="Title">
    <w:name w:val="Title"/>
    <w:basedOn w:val="Normal"/>
    <w:next w:val="Normal"/>
    <w:link w:val="TitleChar"/>
    <w:uiPriority w:val="10"/>
    <w:qFormat/>
    <w:rsid w:val="001C0A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0A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0A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0A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0AA8"/>
    <w:pPr>
      <w:spacing w:before="160"/>
      <w:jc w:val="center"/>
    </w:pPr>
    <w:rPr>
      <w:i/>
      <w:iCs/>
      <w:color w:val="404040" w:themeColor="text1" w:themeTint="BF"/>
    </w:rPr>
  </w:style>
  <w:style w:type="character" w:customStyle="1" w:styleId="QuoteChar">
    <w:name w:val="Quote Char"/>
    <w:basedOn w:val="DefaultParagraphFont"/>
    <w:link w:val="Quote"/>
    <w:uiPriority w:val="29"/>
    <w:rsid w:val="001C0AA8"/>
    <w:rPr>
      <w:i/>
      <w:iCs/>
      <w:color w:val="404040" w:themeColor="text1" w:themeTint="BF"/>
    </w:rPr>
  </w:style>
  <w:style w:type="paragraph" w:styleId="ListParagraph">
    <w:name w:val="List Paragraph"/>
    <w:basedOn w:val="Normal"/>
    <w:uiPriority w:val="34"/>
    <w:qFormat/>
    <w:rsid w:val="001C0AA8"/>
    <w:pPr>
      <w:ind w:left="720"/>
      <w:contextualSpacing/>
    </w:pPr>
  </w:style>
  <w:style w:type="character" w:styleId="IntenseEmphasis">
    <w:name w:val="Intense Emphasis"/>
    <w:basedOn w:val="DefaultParagraphFont"/>
    <w:uiPriority w:val="21"/>
    <w:qFormat/>
    <w:rsid w:val="001C0AA8"/>
    <w:rPr>
      <w:i/>
      <w:iCs/>
      <w:color w:val="2F5496" w:themeColor="accent1" w:themeShade="BF"/>
    </w:rPr>
  </w:style>
  <w:style w:type="paragraph" w:styleId="IntenseQuote">
    <w:name w:val="Intense Quote"/>
    <w:basedOn w:val="Normal"/>
    <w:next w:val="Normal"/>
    <w:link w:val="IntenseQuoteChar"/>
    <w:uiPriority w:val="30"/>
    <w:qFormat/>
    <w:rsid w:val="001C0A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0AA8"/>
    <w:rPr>
      <w:i/>
      <w:iCs/>
      <w:color w:val="2F5496" w:themeColor="accent1" w:themeShade="BF"/>
    </w:rPr>
  </w:style>
  <w:style w:type="character" w:styleId="IntenseReference">
    <w:name w:val="Intense Reference"/>
    <w:basedOn w:val="DefaultParagraphFont"/>
    <w:uiPriority w:val="32"/>
    <w:qFormat/>
    <w:rsid w:val="001C0AA8"/>
    <w:rPr>
      <w:b/>
      <w:bCs/>
      <w:smallCaps/>
      <w:color w:val="2F5496" w:themeColor="accent1" w:themeShade="BF"/>
      <w:spacing w:val="5"/>
    </w:rPr>
  </w:style>
  <w:style w:type="paragraph" w:styleId="NormalWeb">
    <w:name w:val="Normal (Web)"/>
    <w:basedOn w:val="Normal"/>
    <w:uiPriority w:val="99"/>
    <w:semiHidden/>
    <w:unhideWhenUsed/>
    <w:rsid w:val="00EE770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64">
    <w:name w:val="citation-64"/>
    <w:basedOn w:val="DefaultParagraphFont"/>
    <w:rsid w:val="00EE770C"/>
  </w:style>
  <w:style w:type="character" w:customStyle="1" w:styleId="citation-63">
    <w:name w:val="citation-63"/>
    <w:basedOn w:val="DefaultParagraphFont"/>
    <w:rsid w:val="00EE770C"/>
  </w:style>
  <w:style w:type="character" w:customStyle="1" w:styleId="citation-62">
    <w:name w:val="citation-62"/>
    <w:basedOn w:val="DefaultParagraphFont"/>
    <w:rsid w:val="00EE770C"/>
  </w:style>
  <w:style w:type="character" w:customStyle="1" w:styleId="citation-61">
    <w:name w:val="citation-61"/>
    <w:basedOn w:val="DefaultParagraphFont"/>
    <w:rsid w:val="00EE770C"/>
  </w:style>
  <w:style w:type="character" w:customStyle="1" w:styleId="citation-60">
    <w:name w:val="citation-60"/>
    <w:basedOn w:val="DefaultParagraphFont"/>
    <w:rsid w:val="00EE770C"/>
  </w:style>
  <w:style w:type="character" w:customStyle="1" w:styleId="citation-59">
    <w:name w:val="citation-59"/>
    <w:basedOn w:val="DefaultParagraphFont"/>
    <w:rsid w:val="00EE770C"/>
  </w:style>
  <w:style w:type="character" w:styleId="Strong">
    <w:name w:val="Strong"/>
    <w:basedOn w:val="DefaultParagraphFont"/>
    <w:uiPriority w:val="22"/>
    <w:qFormat/>
    <w:rsid w:val="00EE770C"/>
    <w:rPr>
      <w:b/>
      <w:bCs/>
    </w:rPr>
  </w:style>
  <w:style w:type="character" w:customStyle="1" w:styleId="citation-58">
    <w:name w:val="citation-58"/>
    <w:basedOn w:val="DefaultParagraphFont"/>
    <w:rsid w:val="00EE770C"/>
  </w:style>
  <w:style w:type="character" w:customStyle="1" w:styleId="citation-57">
    <w:name w:val="citation-57"/>
    <w:basedOn w:val="DefaultParagraphFont"/>
    <w:rsid w:val="00EE770C"/>
  </w:style>
  <w:style w:type="character" w:customStyle="1" w:styleId="citation-56">
    <w:name w:val="citation-56"/>
    <w:basedOn w:val="DefaultParagraphFont"/>
    <w:rsid w:val="00EE770C"/>
  </w:style>
  <w:style w:type="character" w:customStyle="1" w:styleId="citation-55">
    <w:name w:val="citation-55"/>
    <w:basedOn w:val="DefaultParagraphFont"/>
    <w:rsid w:val="00EE770C"/>
  </w:style>
  <w:style w:type="character" w:customStyle="1" w:styleId="citation-54">
    <w:name w:val="citation-54"/>
    <w:basedOn w:val="DefaultParagraphFont"/>
    <w:rsid w:val="00EE770C"/>
  </w:style>
  <w:style w:type="character" w:customStyle="1" w:styleId="citation-53">
    <w:name w:val="citation-53"/>
    <w:basedOn w:val="DefaultParagraphFont"/>
    <w:rsid w:val="00EE770C"/>
  </w:style>
  <w:style w:type="character" w:customStyle="1" w:styleId="citation-52">
    <w:name w:val="citation-52"/>
    <w:basedOn w:val="DefaultParagraphFont"/>
    <w:rsid w:val="00EE770C"/>
  </w:style>
  <w:style w:type="character" w:customStyle="1" w:styleId="citation-51">
    <w:name w:val="citation-51"/>
    <w:basedOn w:val="DefaultParagraphFont"/>
    <w:rsid w:val="00EE770C"/>
  </w:style>
  <w:style w:type="character" w:customStyle="1" w:styleId="citation-50">
    <w:name w:val="citation-50"/>
    <w:basedOn w:val="DefaultParagraphFont"/>
    <w:rsid w:val="00EE770C"/>
  </w:style>
  <w:style w:type="character" w:customStyle="1" w:styleId="citation-49">
    <w:name w:val="citation-49"/>
    <w:basedOn w:val="DefaultParagraphFont"/>
    <w:rsid w:val="00EE770C"/>
  </w:style>
  <w:style w:type="character" w:customStyle="1" w:styleId="citation-48">
    <w:name w:val="citation-48"/>
    <w:basedOn w:val="DefaultParagraphFont"/>
    <w:rsid w:val="00EE770C"/>
  </w:style>
  <w:style w:type="character" w:customStyle="1" w:styleId="citation-47">
    <w:name w:val="citation-47"/>
    <w:basedOn w:val="DefaultParagraphFont"/>
    <w:rsid w:val="00EE770C"/>
  </w:style>
  <w:style w:type="character" w:customStyle="1" w:styleId="citation-46">
    <w:name w:val="citation-46"/>
    <w:basedOn w:val="DefaultParagraphFont"/>
    <w:rsid w:val="00EE770C"/>
  </w:style>
  <w:style w:type="character" w:customStyle="1" w:styleId="citation-45">
    <w:name w:val="citation-45"/>
    <w:basedOn w:val="DefaultParagraphFont"/>
    <w:rsid w:val="00EE770C"/>
  </w:style>
  <w:style w:type="character" w:customStyle="1" w:styleId="citation-44">
    <w:name w:val="citation-44"/>
    <w:basedOn w:val="DefaultParagraphFont"/>
    <w:rsid w:val="00EE770C"/>
  </w:style>
  <w:style w:type="paragraph" w:styleId="FootnoteText">
    <w:name w:val="footnote text"/>
    <w:basedOn w:val="Normal"/>
    <w:link w:val="FootnoteTextChar"/>
    <w:uiPriority w:val="99"/>
    <w:semiHidden/>
    <w:unhideWhenUsed/>
    <w:rsid w:val="003466D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466D0"/>
    <w:rPr>
      <w:sz w:val="20"/>
      <w:szCs w:val="20"/>
    </w:rPr>
  </w:style>
  <w:style w:type="character" w:styleId="FootnoteReference">
    <w:name w:val="footnote reference"/>
    <w:basedOn w:val="DefaultParagraphFont"/>
    <w:uiPriority w:val="99"/>
    <w:semiHidden/>
    <w:unhideWhenUsed/>
    <w:rsid w:val="003466D0"/>
    <w:rPr>
      <w:vertAlign w:val="superscript"/>
    </w:rPr>
  </w:style>
  <w:style w:type="paragraph" w:styleId="Bibliography">
    <w:name w:val="Bibliography"/>
    <w:basedOn w:val="Normal"/>
    <w:next w:val="Normal"/>
    <w:uiPriority w:val="37"/>
    <w:unhideWhenUsed/>
    <w:rsid w:val="003466D0"/>
    <w:pPr>
      <w:spacing w:after="240" w:line="24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ECCFA3F5-C052-435F-814A-1447699825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5</Pages>
  <Words>1207</Words>
  <Characters>6882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Samar Maharjan</dc:creator>
  <cp:keywords/>
  <dc:description/>
  <cp:lastModifiedBy>Samar Maharjan</cp:lastModifiedBy>
  <cp:revision>10</cp:revision>
  <dcterms:created xsi:type="dcterms:W3CDTF">2026-02-06T01:27:00Z</dcterms:created>
  <dcterms:modified xsi:type="dcterms:W3CDTF">2026-02-06T02:59:00Z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zotero-version="8.0.2"&gt;&lt;session id="WNzaN9Pe"/&gt;&lt;style id="http://www.zotero.org/styles/chicago-notes-bibliography" locale="en-US" hasBibliography="1" bibliographyStyleHasBeenSet="1"/&gt;&lt;prefs&gt;&lt;pref name="noteType" value="1"/&gt;&lt;pref nam</vt:lpwstr>
  </property>
  <property fmtid="{D5CDD505-2E9C-101B-9397-08002B2CF9AE}" pid="3" name="ZOTERO_PREF_2">
    <vt:lpwstr>e="fieldType" value="Field"/&gt;&lt;/prefs&gt;&lt;/data&gt;</vt:lpwstr>
  </property>
</Properties>
</file>