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44.png" ContentType="image/png"/>
  <Override PartName="/word/media/rId86.png" ContentType="image/png"/>
  <Override PartName="/word/media/rId89.png" ContentType="image/png"/>
  <Override PartName="/word/media/rId64.png" ContentType="image/png"/>
  <Override PartName="/word/media/rId108.png" ContentType="image/png"/>
  <Override PartName="/word/media/rId24.png" ContentType="image/png"/>
  <Override PartName="/word/media/rId41.png" ContentType="image/png"/>
  <Override PartName="/word/media/rId38.png" ContentType="image/png"/>
  <Override PartName="/word/media/rId57.png" ContentType="image/png"/>
  <Override PartName="/word/media/rId32.png" ContentType="image/png"/>
  <Override PartName="/word/media/rId94.png" ContentType="image/png"/>
  <Override PartName="/word/media/rId52.png" ContentType="image/png"/>
  <Override PartName="/word/media/rId101.png" ContentType="image/png"/>
  <Override PartName="/word/media/rId60.png" ContentType="image/png"/>
  <Override PartName="/word/media/rId97.png" ContentType="image/png"/>
  <Override PartName="/word/media/rId77.png" ContentType="image/png"/>
  <Override PartName="/word/media/rId82.png" ContentType="image/png"/>
  <Override PartName="/word/media/rId72.png" ContentType="image/png"/>
  <Override PartName="/word/media/rId48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X160aca457c70b7bf57f86990fd6f0490081dceb"/>
    <w:p>
      <w:pPr>
        <w:pStyle w:val="Heading2"/>
      </w:pPr>
      <w:r>
        <w:t xml:space="preserve">2A. The original feasibility study: passive cooling of a TPU node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 thermal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and white-paint properties from the Gilmore handbook [20]. Reproduced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orbital_dc.thermal.report_i_baseline()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work that opened this line of analysis asked a single, narrow question: can a node carrying several</w:t>
      </w:r>
      <w:r>
        <w:t xml:space="preserve"> </w:t>
      </w:r>
      <w:r>
        <w:t xml:space="preserve">high-power accelerators be held within its temperature limit at 650 kilometers using only passive</w:t>
      </w:r>
      <w:r>
        <w:t xml:space="preserve"> </w:t>
      </w:r>
      <w:r>
        <w:t xml:space="preserve">radiative cooling, with no refrigeration and no consumable coolant. The answer governs everything that</w:t>
      </w:r>
      <w:r>
        <w:t xml:space="preserve"> </w:t>
      </w:r>
      <w:r>
        <w:t xml:space="preserve">follows, because if the thermal case fails at the node level there is nothing to scale. This chapter</w:t>
      </w:r>
      <w:r>
        <w:t xml:space="preserve"> </w:t>
      </w:r>
      <w:r>
        <w:t xml:space="preserve">reproduces that original steady-state design point in full, since the rest of the book extends and</w:t>
      </w:r>
      <w:r>
        <w:t xml:space="preserve"> </w:t>
      </w:r>
      <w:r>
        <w:t xml:space="preserve">stress-tests it; the general thermal theory it draws on is developed in Chapter 10.</w:t>
      </w:r>
    </w:p>
    <w:p>
      <w:pPr>
        <w:pStyle w:val="BodyText"/>
      </w:pPr>
      <w:r>
        <w:rPr>
          <w:b/>
          <w:bCs/>
        </w:rPr>
        <w:t xml:space="preserve">The heat load.</w:t>
      </w:r>
      <w:r>
        <w:t xml:space="preserve"> </w:t>
      </w:r>
      <w:r>
        <w:t xml:space="preserve">The reference node dissipates four accelerators at a per-chip power of 300 watts,</w:t>
      </w:r>
      <w:r>
        <w:t xml:space="preserve"> </w:t>
      </w:r>
      <w:r>
        <w:t xml:space="preserve">together with avionics and a parasitic allowance: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+</m:t>
          </m:r>
          <m:sSub>
            <m:e>
              <m:r>
                <m:t>150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100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1450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Radiator temperature.</w:t>
      </w:r>
      <w:r>
        <w:t xml:space="preserve"> </w:t>
      </w:r>
      <w:r>
        <w:t xml:space="preserve">All of this heat leaves as thermal radiation. For a gray emitter of area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from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sides into a cold background, the steady-state panel</w:t>
      </w:r>
      <w:r>
        <w:t xml:space="preserve"> </w:t>
      </w:r>
      <w:r>
        <w:t xml:space="preserve">temperature follows from the Stefan-Boltzmann balance,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ε</m:t>
          </m:r>
          <m:r>
            <m:t> </m:t>
          </m:r>
          <m:r>
            <m:t>σ</m:t>
          </m:r>
          <m:r>
            <m:t> </m:t>
          </m:r>
          <m:r>
            <m:t>A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 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</m:sub>
                      </m:sSub>
                    </m:num>
                    <m:den>
                      <m:r>
                        <m:t>ε</m:t>
                      </m:r>
                      <m:r>
                        <m:t> </m:t>
                      </m:r>
                      <m:r>
                        <m:t>σ</m:t>
                      </m:r>
                      <m:r>
                        <m:t> </m:t>
                      </m:r>
                      <m:r>
                        <m:t>A</m:t>
                      </m:r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two two-square-meter panels treated as a single-sided four-square-meter emitter, Z-93 white paint</w:t>
      </w:r>
      <w:r>
        <w:t xml:space="preserve"> </w:t>
      </w:r>
      <w:r>
        <w:t xml:space="preserve">at its end-of-life emissivity of 0.85, the panel settles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21.3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radiator is comfortable; the difficulty is entirely in getting the heat from the silicon to it.</w:t>
      </w:r>
    </w:p>
    <w:p>
      <w:pPr>
        <w:pStyle w:val="BodyText"/>
      </w:pPr>
      <w:r>
        <w:rPr>
          <w:b/>
          <w:bCs/>
        </w:rPr>
        <w:t xml:space="preserve">The conduction chain.</w:t>
      </w:r>
      <w:r>
        <w:t xml:space="preserve"> </w:t>
      </w:r>
      <w:r>
        <w:t xml:space="preserve">Between the transistor junction and the panel sits a series of thermal</w:t>
      </w:r>
      <w:r>
        <w:t xml:space="preserve"> </w:t>
      </w:r>
      <w:r>
        <w:t xml:space="preserve">resistances: junction to case, the thermal interface material, the cold-plate base, the heat pipe, and</w:t>
      </w:r>
      <w:r>
        <w:t xml:space="preserve"> </w:t>
      </w:r>
      <w:r>
        <w:t xml:space="preserve">the radiator interface. In series they add,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original budget is</w:t>
      </w:r>
      <w:r>
        <w:t xml:space="preserve"> </w:t>
      </w:r>
      <m:oMath>
        <m:r>
          <m:t>0.150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+</m:t>
        </m:r>
        <m:r>
          <m:t>0.060</m:t>
        </m:r>
        <m:r>
          <m:rPr>
            <m:sty m:val="p"/>
          </m:rPr>
          <m:t>+</m:t>
        </m:r>
        <m:r>
          <m:t>0.050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=</m:t>
        </m:r>
        <m:r>
          <m:t>0.300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after a modest</w:t>
      </w:r>
      <w:r>
        <w:t xml:space="preserve"> </w:t>
      </w:r>
      <w:r>
        <w:t xml:space="preserve">interface and heat-pipe improvement, down from</w:t>
      </w:r>
      <w:r>
        <w:t xml:space="preserve"> </w:t>
      </w:r>
      <m:oMath>
        <m:r>
          <m:t>0.350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before it. The junction-to-case</w:t>
      </w:r>
      <w:r>
        <w:t xml:space="preserve"> </w:t>
      </w:r>
      <w:r>
        <w:t xml:space="preserve">term dominates and is fixed by the package; the terms a designer can influence are the interface</w:t>
      </w:r>
      <w:r>
        <w:t xml:space="preserve"> </w:t>
      </w:r>
      <w:r>
        <w:t xml:space="preserve">material and the heat pipe.</w:t>
      </w:r>
    </w:p>
    <w:p>
      <w:pPr>
        <w:pStyle w:val="BodyText"/>
      </w:pPr>
      <w:r>
        <w:rPr>
          <w:b/>
          <w:bCs/>
        </w:rPr>
        <w:t xml:space="preserve">Junction temperature and the margin.</w:t>
      </w:r>
      <w:r>
        <w:t xml:space="preserve"> </w:t>
      </w:r>
      <w:r>
        <w:t xml:space="preserve">The junction sits above the radiator by the product of</w:t>
      </w:r>
      <w:r>
        <w:t xml:space="preserve"> </w:t>
      </w:r>
      <w:r>
        <w:t xml:space="preserve">per-chip power and chain resistance,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t>21.3</m:t>
          </m:r>
          <m:r>
            <m:rPr>
              <m:sty m:val="p"/>
            </m:rPr>
            <m:t>+</m:t>
          </m:r>
          <m:r>
            <m:t>300</m:t>
          </m:r>
          <m:r>
            <m:rPr>
              <m:sty m:val="p"/>
            </m:rPr>
            <m:t>×</m:t>
          </m:r>
          <m:r>
            <m:t>0.300</m:t>
          </m:r>
          <m:r>
            <m:rPr>
              <m:sty m:val="p"/>
            </m:rPr>
            <m:t>=</m:t>
          </m:r>
          <m:r>
            <m:t>111.3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Against a junction limit of</w:t>
      </w:r>
      <w:r>
        <w:t xml:space="preserve"> </w:t>
      </w:r>
      <m:oMath>
        <m:r>
          <m:t>125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this leaves a margin of</w:t>
      </w:r>
      <w:r>
        <w:t xml:space="preserve"> </w:t>
      </w:r>
      <m:oMath>
        <m:r>
          <m:t>13.6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case closes, but not by much. The single result that named this study is that margin: passive</w:t>
      </w:r>
      <w:r>
        <w:t xml:space="preserve"> </w:t>
      </w:r>
      <w:r>
        <w:t xml:space="preserve">cooling of a 300-watt-class accelerator at this altitude is feasible, and feasible only with a thin</w:t>
      </w:r>
      <w:r>
        <w:t xml:space="preserve"> </w:t>
      </w:r>
      <w:r>
        <w:t xml:space="preserve">allowance.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 spacecraft thermal path carries redundant heat pipes, so the design must survive one</w:t>
      </w:r>
      <w:r>
        <w:t xml:space="preserve"> </w:t>
      </w:r>
      <w:r>
        <w:t xml:space="preserve">failing. If a single pipe drops out, the pipe resistance rises by about one part in seven, adding</w:t>
      </w:r>
      <w:r>
        <w:t xml:space="preserve"> </w:t>
      </w:r>
      <m:oMath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to the chain,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+</m:t>
          </m:r>
          <m:r>
            <m:t>0.011</m:t>
          </m:r>
          <m:r>
            <m:rPr>
              <m:sty m:val="p"/>
            </m:rPr>
            <m:t>=</m:t>
          </m:r>
          <m:r>
            <m:t>0.311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114.8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junction climbs to</w:t>
      </w:r>
      <w:r>
        <w:t xml:space="preserve"> </w:t>
      </w:r>
      <m:oMath>
        <m:r>
          <m:t>114.8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so the margin narrows to about ten degrees but stays</w:t>
      </w:r>
      <w:r>
        <w:t xml:space="preserve"> </w:t>
      </w:r>
      <w:r>
        <w:t xml:space="preserve">positive. The single-fault case survives.</w:t>
      </w:r>
    </w:p>
    <w:p>
      <w:pPr>
        <w:pStyle w:val="BodyText"/>
      </w:pPr>
      <w:r>
        <w:rPr>
          <w:b/>
          <w:bCs/>
        </w:rPr>
        <w:t xml:space="preserve">What the study did and did not establish.</w:t>
      </w:r>
      <w:r>
        <w:t xml:space="preserve"> </w:t>
      </w:r>
      <w:r>
        <w:t xml:space="preserve">Three caveats travel with this result, and they set the</w:t>
      </w:r>
      <w:r>
        <w:t xml:space="preserve"> </w:t>
      </w:r>
      <w:r>
        <w:t xml:space="preserve">agenda for the rest of the book. First, the per-chip power was taken as 300 watts; the actual figure for</w:t>
      </w:r>
      <w:r>
        <w:t xml:space="preserve"> </w:t>
      </w:r>
      <w:r>
        <w:t xml:space="preserve">the reference accelerator is undisclosed and is more plausibly in the 150-to-200-watt range, in which</w:t>
      </w:r>
      <w:r>
        <w:t xml:space="preserve"> </w:t>
      </w:r>
      <w:r>
        <w:t xml:space="preserve">case the junction sits well below the limit and the margin is larger, not smaller. The 300-watt case is</w:t>
      </w:r>
      <w:r>
        <w:t xml:space="preserve"> </w:t>
      </w:r>
      <w:r>
        <w:t xml:space="preserve">therefore conservative. Second, and pointing the other way, the analysis is a single-node steady state;</w:t>
      </w:r>
      <w:r>
        <w:t xml:space="preserve"> </w:t>
      </w:r>
      <w:r>
        <w:t xml:space="preserve">it does not by itself address the sharper wall that appears as per-chip power rises, where above roughly</w:t>
      </w:r>
      <w:r>
        <w:t xml:space="preserve"> </w:t>
      </w:r>
      <w:r>
        <w:t xml:space="preserve">400 watts the interface term alone overruns the entire budget and a passive chain can no longer cope, a</w:t>
      </w:r>
      <w:r>
        <w:t xml:space="preserve"> </w:t>
      </w:r>
      <w:r>
        <w:t xml:space="preserve">point developed in Chapter 10. Third, the original study was candid that the thermal case being feasible</w:t>
      </w:r>
      <w:r>
        <w:t xml:space="preserve"> </w:t>
      </w:r>
      <w:r>
        <w:t xml:space="preserve">does not make the system economical: its own break-even analysis was negative, which is exactly the</w:t>
      </w:r>
      <w:r>
        <w:t xml:space="preserve"> </w:t>
      </w:r>
      <w:r>
        <w:t xml:space="preserve">question Chapter 22 takes up in detail. The thin margin and the per-chip ceiling are what motivated the</w:t>
      </w:r>
      <w:r>
        <w:t xml:space="preserve"> </w:t>
      </w:r>
      <w:r>
        <w:t xml:space="preserve">full survivability, integration, and economic treatment that makes up the remainder of this book.</w:t>
      </w:r>
    </w:p>
    <w:bookmarkEnd w:id="18"/>
    <w:bookmarkStart w:id="19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9"/>
    <w:bookmarkStart w:id="20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rPr>
          <w:i/>
          <w:iCs/>
        </w:rPr>
        <w:t xml:space="preserve">Sources: margin and readiness practice from the NASA Systems Engineering Handbook [13], AIAA S-120 [14], the Goddard concurrent-design practice [15], and the SMAD systems text [18].</w:t>
      </w:r>
    </w:p>
    <w:p>
      <w:pPr>
        <w:pStyle w:val="BodyText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7" w:name="part-ii-the-orbital-environment"/>
    <w:p>
      <w:pPr>
        <w:pStyle w:val="Heading1"/>
      </w:pPr>
      <w:r>
        <w:t xml:space="preserve">PART II, THE ORBITAL ENVIRONMENT</w:t>
      </w:r>
    </w:p>
    <w:bookmarkStart w:id="22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2"/>
    <w:bookmarkStart w:id="23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rPr>
          <w:i/>
          <w:iCs/>
        </w:rPr>
        <w:t xml:space="preserve">Sources: the J2 secular precession and the sun-synchronous condition follow Vallado [17] and Curtis [16].</w:t>
      </w:r>
    </w:p>
    <w:p>
      <w:pPr>
        <w:pStyle w:val="BodyText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3"/>
    <w:bookmarkStart w:id="27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rPr>
          <w:i/>
          <w:iCs/>
        </w:rPr>
        <w:t xml:space="preserve">Sources: the beta-angle and eclipse-fraction geometry follow Curtis [16] and the SMAD mission-design text [18].</w:t>
      </w:r>
    </w:p>
    <w:p>
      <w:pPr>
        <w:pStyle w:val="BodyText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5" name="Picture"/>
            <a:graphic>
              <a:graphicData uri="http://schemas.openxmlformats.org/drawingml/2006/picture">
                <pic:pic>
                  <pic:nvPicPr>
                    <pic:cNvPr descr="figures2/figA1_eclip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7"/>
    <w:bookmarkStart w:id="31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9" name="Picture"/>
            <a:graphic>
              <a:graphicData uri="http://schemas.openxmlformats.org/drawingml/2006/picture">
                <pic:pic>
                  <pic:nvPicPr>
                    <pic:cNvPr descr="figures/fig1_orbital_deca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1"/>
    <w:bookmarkStart w:id="35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3" name="Picture"/>
            <a:graphic>
              <a:graphicData uri="http://schemas.openxmlformats.org/drawingml/2006/picture">
                <pic:pic>
                  <pic:nvPicPr>
                    <pic:cNvPr descr="figures2/figA5_do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5"/>
    <w:bookmarkStart w:id="36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76" w:name="part-iii-spacecraft-subsystems"/>
    <w:p>
      <w:pPr>
        <w:pStyle w:val="Heading1"/>
      </w:pPr>
      <w:r>
        <w:t xml:space="preserve">PART III, SPACECRAFT SUBSYSTEMS</w:t>
      </w:r>
    </w:p>
    <w:bookmarkStart w:id="47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9" name="Picture"/>
            <a:graphic>
              <a:graphicData uri="http://schemas.openxmlformats.org/drawingml/2006/picture">
                <pic:pic>
                  <pic:nvPicPr>
                    <pic:cNvPr descr="figures2/figA3_radiat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2" name="Picture"/>
            <a:graphic>
              <a:graphicData uri="http://schemas.openxmlformats.org/drawingml/2006/picture">
                <pic:pic>
                  <pic:nvPicPr>
                    <pic:cNvPr descr="figures2/figA2_load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5" name="Picture"/>
            <a:graphic>
              <a:graphicData uri="http://schemas.openxmlformats.org/drawingml/2006/picture">
                <pic:pic>
                  <pic:nvPicPr>
                    <pic:cNvPr descr="figures/fig2_thermal_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7"/>
    <w:bookmarkStart w:id="51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rPr>
          <w:i/>
          <w:iCs/>
        </w:rPr>
        <w:t xml:space="preserve">Sources: solar-array and power-budget sizing from SMAD [18] and the Gilmore handbook [20]; cell and battery parameters from vendor datasheets [12].</w:t>
      </w:r>
    </w:p>
    <w:p>
      <w:pPr>
        <w:pStyle w:val="BodyText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9" name="Picture"/>
            <a:graphic>
              <a:graphicData uri="http://schemas.openxmlformats.org/drawingml/2006/picture">
                <pic:pic>
                  <pic:nvPicPr>
                    <pic:cNvPr descr="systems_figs/fig_po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1"/>
    <w:bookmarkStart w:id="55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rPr>
          <w:i/>
          <w:iCs/>
        </w:rPr>
        <w:t xml:space="preserve">Sources: mass-growth allowances from AIAA S-120 [14]; structural and modal relations from SMAD [18] and Sidi [33].</w:t>
      </w:r>
    </w:p>
    <w:p>
      <w:pPr>
        <w:pStyle w:val="BodyText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3" name="Picture"/>
            <a:graphic>
              <a:graphicData uri="http://schemas.openxmlformats.org/drawingml/2006/picture">
                <pic:pic>
                  <pic:nvPicPr>
                    <pic:cNvPr descr="figures2/figA8_mas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5"/>
    <w:bookmarkStart w:id="56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rPr>
          <w:i/>
          <w:iCs/>
        </w:rPr>
        <w:t xml:space="preserve">Sources: attitude dynamics and control from Wertz [32] and Sidi [33]; optical-pointing requirements from Hemmati [30].</w:t>
      </w:r>
    </w:p>
    <w:p>
      <w:pPr>
        <w:pStyle w:val="BodyText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6"/>
    <w:bookmarkStart w:id="6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8" name="Picture"/>
            <a:graphic>
              <a:graphicData uri="http://schemas.openxmlformats.org/drawingml/2006/picture">
                <pic:pic>
                  <pic:nvPicPr>
                    <pic:cNvPr descr="figures2/figA4_link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1" name="Picture"/>
            <a:graphic>
              <a:graphicData uri="http://schemas.openxmlformats.org/drawingml/2006/picture">
                <pic:pic>
                  <pic:nvPicPr>
                    <pic:cNvPr descr="systems_figs/fig_comm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3"/>
    <w:bookmarkStart w:id="6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rPr>
          <w:i/>
          <w:iCs/>
        </w:rPr>
        <w:t xml:space="preserve">Sources: the rocket equation and propulsion sizing from Sutton and Biblarz [31]; the Hohmann de-orbit from Curtis [16]; the disposal requirement from FCC 22-74 [7].</w:t>
      </w:r>
    </w:p>
    <w:p>
      <w:pPr>
        <w:pStyle w:val="BodyText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5" name="Picture"/>
            <a:graphic>
              <a:graphicData uri="http://schemas.openxmlformats.org/drawingml/2006/picture">
                <pic:pic>
                  <pic:nvPicPr>
                    <pic:cNvPr descr="figures/fig5_deltav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7"/>
    <w:bookmarkStart w:id="7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rPr>
          <w:i/>
          <w:iCs/>
        </w:rPr>
        <w:t xml:space="preserve">Sources: reliability and redundancy methods from the SMAD systems texts [18, 19].</w:t>
      </w:r>
    </w:p>
    <w:p>
      <w:pPr>
        <w:pStyle w:val="BodyText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9" name="Picture"/>
            <a:graphic>
              <a:graphicData uri="http://schemas.openxmlformats.org/drawingml/2006/picture">
                <pic:pic>
                  <pic:nvPicPr>
                    <pic:cNvPr descr="systems_figs/fig_reli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1"/>
    <w:bookmarkStart w:id="7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rPr>
          <w:i/>
          <w:iCs/>
        </w:rPr>
        <w:t xml:space="preserve">Sources: accelerator throughput and power from vendor documentation [12]; the workload and utilization model from the reference architecture [1].</w:t>
      </w:r>
    </w:p>
    <w:p>
      <w:pPr>
        <w:pStyle w:val="BodyText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3" name="Picture"/>
            <a:graphic>
              <a:graphicData uri="http://schemas.openxmlformats.org/drawingml/2006/picture">
                <pic:pic>
                  <pic:nvPicPr>
                    <pic:cNvPr descr="systems_figs/fig_new_subsystem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3" w:name="Xe5ea88703363ae012ea2f87a0aad981517e6b12"/>
    <w:p>
      <w:pPr>
        <w:pStyle w:val="Heading1"/>
      </w:pPr>
      <w:r>
        <w:t xml:space="preserve">PART IV, INTEGRATION, SIMULATION, AND RESULTS</w:t>
      </w:r>
    </w:p>
    <w:bookmarkStart w:id="8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rPr>
          <w:i/>
          <w:iCs/>
        </w:rPr>
        <w:t xml:space="preserve">Sources: the mass, power, thermal, and delta-v closure follows standard concurrent-design practice (SMAD [18]).</w:t>
      </w:r>
    </w:p>
    <w:p>
      <w:pPr>
        <w:pStyle w:val="BodyText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8" name="Picture"/>
            <a:graphic>
              <a:graphicData uri="http://schemas.openxmlformats.org/drawingml/2006/picture">
                <pic:pic>
                  <pic:nvPicPr>
                    <pic:cNvPr descr="systems_figs/fig_mass_budge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80"/>
    <w:bookmarkStart w:id="81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rPr>
          <w:i/>
          <w:iCs/>
        </w:rPr>
        <w:t xml:space="preserve">Sources: the numerical methods (Newton-Raphson, bisection, Brent, Runge-Kutta) are standard; the orbital integrations are checked against Vallado [17].</w:t>
      </w:r>
    </w:p>
    <w:p>
      <w:pPr>
        <w:pStyle w:val="BodyText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1"/>
    <w:bookmarkStart w:id="85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rPr>
          <w:i/>
          <w:iCs/>
        </w:rPr>
        <w:t xml:space="preserve">Sources: linear error propagation and Monte-Carlo are standard practice; the input distributions are documented in Appendix C.</w:t>
      </w:r>
    </w:p>
    <w:p>
      <w:pPr>
        <w:pStyle w:val="BodyText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3" name="Picture"/>
            <a:graphic>
              <a:graphicData uri="http://schemas.openxmlformats.org/drawingml/2006/picture">
                <pic:pic>
                  <pic:nvPicPr>
                    <pic:cNvPr descr="systems_figs/fig_montecar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5"/>
    <w:bookmarkStart w:id="92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7" name="Picture"/>
            <a:graphic>
              <a:graphicData uri="http://schemas.openxmlformats.org/drawingml/2006/picture">
                <pic:pic>
                  <pic:nvPicPr>
                    <pic:cNvPr descr="figures/fig3_debris_ris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90" name="Picture"/>
            <a:graphic>
              <a:graphicData uri="http://schemas.openxmlformats.org/drawingml/2006/picture">
                <pic:pic>
                  <pic:nvPicPr>
                    <pic:cNvPr descr="figures/fig4_radia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6" w:name="part-v-economics-and-predictions"/>
    <w:p>
      <w:pPr>
        <w:pStyle w:val="Heading1"/>
      </w:pPr>
      <w:r>
        <w:t xml:space="preserve">PART V, ECONOMICS AND PREDICTIONS</w:t>
      </w:r>
    </w:p>
    <w:bookmarkStart w:id="100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rPr>
          <w:i/>
          <w:iCs/>
        </w:rPr>
        <w:t xml:space="preserve">Sources: the levelized-cost and net-present-value formulation follows standard engineering economics and the SMAD cost treatment [18]; launch-cost inputs per [35] and the reference architecture [1].</w:t>
      </w:r>
    </w:p>
    <w:p>
      <w:pPr>
        <w:pStyle w:val="BodyText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5" name="Picture"/>
            <a:graphic>
              <a:graphicData uri="http://schemas.openxmlformats.org/drawingml/2006/picture">
                <pic:pic>
                  <pic:nvPicPr>
                    <pic:cNvPr descr="figures2/figA7_lco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8" name="Picture"/>
            <a:graphic>
              <a:graphicData uri="http://schemas.openxmlformats.org/drawingml/2006/picture">
                <pic:pic>
                  <pic:nvPicPr>
                    <pic:cNvPr descr="systems_figs/fig_compu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100"/>
    <w:bookmarkStart w:id="104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rPr>
          <w:i/>
          <w:iCs/>
        </w:rPr>
        <w:t xml:space="preserve">Sources: the learning-curve and cadence inputs follow the reference architecture’s cost model [1] and public launch data [35].</w:t>
      </w:r>
    </w:p>
    <w:p>
      <w:pPr>
        <w:pStyle w:val="BodyText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. Most sampled scenarios never reach 200 dollars per kilogram within the horizon; conditional on those that do, the median is near 2044, later than the vendor’s 2035." title="" id="102" name="Picture"/>
            <a:graphic>
              <a:graphicData uri="http://schemas.openxmlformats.org/drawingml/2006/picture">
                <pic:pic>
                  <pic:nvPicPr>
                    <pic:cNvPr descr="figures_pred/fig_cost_parity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4"/>
    <w:bookmarkStart w:id="105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part-vi-synthesis"/>
    <w:p>
      <w:pPr>
        <w:pStyle w:val="Heading1"/>
      </w:pPr>
      <w:r>
        <w:t xml:space="preserve">PART VI, SYNTHESIS</w:t>
      </w:r>
    </w:p>
    <w:bookmarkStart w:id="107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7"/>
    <w:bookmarkStart w:id="111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9" name="Picture"/>
            <a:graphic>
              <a:graphicData uri="http://schemas.openxmlformats.org/drawingml/2006/picture">
                <pic:pic>
                  <pic:nvPicPr>
                    <pic:cNvPr descr="figures/fig7_risk_matrix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3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3"/>
    <w:bookmarkStart w:id="114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4"/>
    <w:bookmarkStart w:id="115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rPr>
          <w:i/>
          <w:iCs/>
        </w:rPr>
        <w:t xml:space="preserve">Sources: the relative-motion (Clohessy-Wiltshire) equations and constellation geometry follow Curtis [16] and Vallado [17].</w:t>
      </w:r>
    </w:p>
    <w:p>
      <w:pPr>
        <w:pStyle w:val="BodyText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5"/>
    <w:bookmarkStart w:id="116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32" w:name="back-matter"/>
    <w:p>
      <w:pPr>
        <w:pStyle w:val="Heading1"/>
      </w:pPr>
      <w:r>
        <w:t xml:space="preserve">Back matter</w:t>
      </w:r>
    </w:p>
    <w:bookmarkStart w:id="1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18"/>
    <w:bookmarkStart w:id="119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9"/>
    <w:bookmarkStart w:id="120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20"/>
    <w:bookmarkStart w:id="121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1"/>
    <w:bookmarkStart w:id="122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2"/>
    <w:bookmarkStart w:id="131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3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3"/>
    <w:bookmarkStart w:id="124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4"/>
    <w:bookmarkStart w:id="125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5"/>
    <w:bookmarkStart w:id="126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6"/>
    <w:bookmarkStart w:id="127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7"/>
    <w:bookmarkStart w:id="128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8"/>
    <w:bookmarkStart w:id="129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9"/>
    <w:bookmarkStart w:id="130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64" Target="media/rId64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7" Target="media/rId57.png" /><Relationship Type="http://schemas.openxmlformats.org/officeDocument/2006/relationships/image" Id="rId32" Target="media/rId32.png" /><Relationship Type="http://schemas.openxmlformats.org/officeDocument/2006/relationships/image" Id="rId94" Target="media/rId94.png" /><Relationship Type="http://schemas.openxmlformats.org/officeDocument/2006/relationships/image" Id="rId52" Target="media/rId52.png" /><Relationship Type="http://schemas.openxmlformats.org/officeDocument/2006/relationships/image" Id="rId101" Target="media/rId101.png" /><Relationship Type="http://schemas.openxmlformats.org/officeDocument/2006/relationships/image" Id="rId60" Target="media/rId60.png" /><Relationship Type="http://schemas.openxmlformats.org/officeDocument/2006/relationships/image" Id="rId97" Target="media/rId97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48" Target="media/rId48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2026-06-19T06:28:50Z</dcterms:created>
  <dcterms:modified xsi:type="dcterms:W3CDTF">2026-06-19T06:28:50Z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