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4" w:name="Xb1960cd456b85f7b2038cff64b0c17572edfa3a"/>
    <w:p>
      <w:pPr>
        <w:pStyle w:val="Heading1"/>
      </w:pPr>
      <w:r>
        <w:t xml:space="preserve">Space-Based Data Center Infrastructure: A Multi-Physics Feasibility and Survivability Study</w:t>
      </w:r>
    </w:p>
    <w:p>
      <w:pPr>
        <w:pStyle w:val="FirstParagraph"/>
      </w:pPr>
      <w:r>
        <w:rPr>
          <w:b/>
          <w:bCs/>
        </w:rPr>
        <w:t xml:space="preserve">Samarjith Biswas, PhD</w:t>
      </w:r>
    </w:p>
    <w:p>
      <w:pPr>
        <w:pStyle w:val="BodyText"/>
      </w:pPr>
      <w:r>
        <w:rPr>
          <w:i/>
          <w:iCs/>
        </w:rPr>
        <w:t xml:space="preserve">Independent researcher. Correspondence and code: github.com/Samarjithbiswas/space-based-ai-datacenter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The energy and thermal demands of artificial-intelligence computing have renewed interest in placing</w:t>
      </w:r>
      <w:r>
        <w:t xml:space="preserve"> </w:t>
      </w:r>
      <w:r>
        <w:t xml:space="preserve">data centers in low Earth orbit, and the first hardware has flown. This paper presents a first-order,</w:t>
      </w:r>
      <w:r>
        <w:t xml:space="preserve"> </w:t>
      </w:r>
      <w:r>
        <w:t xml:space="preserve">fully sourced, and reproducible systems-engineering analysis of an orbital artificial-intelligence</w:t>
      </w:r>
      <w:r>
        <w:t xml:space="preserve"> </w:t>
      </w:r>
      <w:r>
        <w:t xml:space="preserve">data center, using a published constellation reference architecture as the running example. Each</w:t>
      </w:r>
      <w:r>
        <w:t xml:space="preserve"> </w:t>
      </w:r>
      <w:r>
        <w:t xml:space="preserve">subsystem is derived from first principles and solved numerically with an open model that regenerates</w:t>
      </w:r>
      <w:r>
        <w:t xml:space="preserve"> </w:t>
      </w:r>
      <w:r>
        <w:t xml:space="preserve">every result. The analysis finds that radiative cooling, the function most often assumed to be the</w:t>
      </w:r>
      <w:r>
        <w:t xml:space="preserve"> </w:t>
      </w:r>
      <w:r>
        <w:t xml:space="preserve">hard problem, is the mature part of the architecture: radiator area scales linearly with power at</w:t>
      </w:r>
      <w:r>
        <w:t xml:space="preserve"> </w:t>
      </w:r>
      <w:r>
        <w:t xml:space="preserve">about fifteen hundred square meters per megawatt, and the binding thermal limit is not heat rejection</w:t>
      </w:r>
      <w:r>
        <w:t xml:space="preserve"> </w:t>
      </w:r>
      <w:r>
        <w:t xml:space="preserve">but the conduction path at the chip, which saturates above roughly four hundred watts per device and</w:t>
      </w:r>
      <w:r>
        <w:t xml:space="preserve"> </w:t>
      </w:r>
      <w:r>
        <w:t xml:space="preserve">forces liquid cooling at the die. Total ionizing dose is survivable behind a centimeter of aluminium,</w:t>
      </w:r>
      <w:r>
        <w:t xml:space="preserve"> </w:t>
      </w:r>
      <w:r>
        <w:t xml:space="preserve">at the cost of a ten to twenty percent throughput tax from single-event upsets. The binding,</w:t>
      </w:r>
      <w:r>
        <w:t xml:space="preserve"> </w:t>
      </w:r>
      <w:r>
        <w:t xml:space="preserve">unsolved constraints lie elsewhere: orbital-debris survivability in a tight formation, where the</w:t>
      </w:r>
      <w:r>
        <w:t xml:space="preserve"> </w:t>
      </w:r>
      <w:r>
        <w:t xml:space="preserve">hundred-and-fifty-meter spacing required by the optical links is the same spacing that makes a</w:t>
      </w:r>
      <w:r>
        <w:t xml:space="preserve"> </w:t>
      </w:r>
      <w:r>
        <w:t xml:space="preserve">collision cascade dangerous; mandatory active disposal, since natural decay at six hundred and fifty</w:t>
      </w:r>
      <w:r>
        <w:t xml:space="preserve"> </w:t>
      </w:r>
      <w:r>
        <w:t xml:space="preserve">kilometers runs to about two decades and fails the five-year rule; and launch economics, where a</w:t>
      </w:r>
      <w:r>
        <w:t xml:space="preserve"> </w:t>
      </w:r>
      <w:r>
        <w:t xml:space="preserve">Monte-Carlo analysis finds that most plausible cost trajectories never reach the price the business</w:t>
      </w:r>
      <w:r>
        <w:t xml:space="preserve"> </w:t>
      </w:r>
      <w:r>
        <w:t xml:space="preserve">case requires within the horizon, and where they do the median arrival is in the mid-2040s rather than</w:t>
      </w:r>
      <w:r>
        <w:t xml:space="preserve"> </w:t>
      </w:r>
      <w:r>
        <w:t xml:space="preserve">the mid-2030s. The contribution is an open, end-to-end model and an explicit separation of</w:t>
      </w:r>
      <w:r>
        <w:t xml:space="preserve"> </w:t>
      </w:r>
      <w:r>
        <w:t xml:space="preserve">demonstrated capability from projection, intended to direct demonstrator effort toward the</w:t>
      </w:r>
      <w:r>
        <w:t xml:space="preserve"> </w:t>
      </w:r>
      <w:r>
        <w:t xml:space="preserve">survivability and autonomy risks that actually gate deployment.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space-based computing; orbital data center; systems engineering; spacecraft thermal</w:t>
      </w:r>
      <w:r>
        <w:t xml:space="preserve"> </w:t>
      </w:r>
      <w:r>
        <w:t xml:space="preserve">control; orbital debris; free-space optical communications; launch economics.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Training and inference clusters for artificial intelligence are now provisioned at the scale of tens</w:t>
      </w:r>
      <w:r>
        <w:t xml:space="preserve"> </w:t>
      </w:r>
      <w:r>
        <w:t xml:space="preserve">to hundreds of megawatts, and power, water, land, and grid interconnection have become first-order</w:t>
      </w:r>
      <w:r>
        <w:t xml:space="preserve"> </w:t>
      </w:r>
      <w:r>
        <w:t xml:space="preserve">constraints on terrestrial growth. Against this pressure, operating data centers in orbit has moved</w:t>
      </w:r>
      <w:r>
        <w:t xml:space="preserve"> </w:t>
      </w:r>
      <w:r>
        <w:t xml:space="preserve">from speculation into early hardware. Within a recent fourteen-month window a data-center-class</w:t>
      </w:r>
      <w:r>
        <w:t xml:space="preserve"> </w:t>
      </w:r>
      <w:r>
        <w:t xml:space="preserve">accelerator was switched on in orbit, a second operator placed compute nodes in low Earth orbit, and</w:t>
      </w:r>
      <w:r>
        <w:t xml:space="preserve"> </w:t>
      </w:r>
      <w:r>
        <w:t xml:space="preserve">a major laboratory published a reference design for a constellation of machine-learning accelerators</w:t>
      </w:r>
      <w:r>
        <w:t xml:space="preserve"> </w:t>
      </w:r>
      <w:r>
        <w:t xml:space="preserve">flying in tight formation. The question is no longer whether the attempt will be made but whether the</w:t>
      </w:r>
      <w:r>
        <w:t xml:space="preserve"> </w:t>
      </w:r>
      <w:r>
        <w:t xml:space="preserve">physics and the economics close.</w:t>
      </w:r>
    </w:p>
    <w:p>
      <w:pPr>
        <w:pStyle w:val="BodyText"/>
      </w:pPr>
      <w:r>
        <w:t xml:space="preserve">Prior treatments fall into three groups. First, vendor and laboratory concept studies set out the</w:t>
      </w:r>
      <w:r>
        <w:t xml:space="preserve"> </w:t>
      </w:r>
      <w:r>
        <w:t xml:space="preserve">architecture and the optimistic case but are non-peer-reviewed and self-reported. Second, a body of</w:t>
      </w:r>
      <w:r>
        <w:t xml:space="preserve"> </w:t>
      </w:r>
      <w:r>
        <w:t xml:space="preserve">established spacecraft-engineering literature provides the governing physics for each subsystem in</w:t>
      </w:r>
      <w:r>
        <w:t xml:space="preserve"> </w:t>
      </w:r>
      <w:r>
        <w:t xml:space="preserve">isolation: orbital mechanics and oblateness-driven nodal precession; the empirical upper-atmosphere</w:t>
      </w:r>
      <w:r>
        <w:t xml:space="preserve"> </w:t>
      </w:r>
      <w:r>
        <w:t xml:space="preserve">density models that set drag and orbital lifetime; gray-body radiative thermal control and spacecraft</w:t>
      </w:r>
      <w:r>
        <w:t xml:space="preserve"> </w:t>
      </w:r>
      <w:r>
        <w:t xml:space="preserve">thermal practice; trapped-radiation environment and dose models; orbital-debris flux models and the</w:t>
      </w:r>
      <w:r>
        <w:t xml:space="preserve"> </w:t>
      </w:r>
      <w:r>
        <w:t xml:space="preserve">collision-cascade analysis that underlies modern debris concern; and free-space optical inter-satellite</w:t>
      </w:r>
      <w:r>
        <w:t xml:space="preserve"> </w:t>
      </w:r>
      <w:r>
        <w:t xml:space="preserve">link budgets. Third, the commercial-space economics literature provides launch-cost learning-curve</w:t>
      </w:r>
      <w:r>
        <w:t xml:space="preserve"> </w:t>
      </w:r>
      <w:r>
        <w:t xml:space="preserve">analyses. What has been missing is an integrated, reproducible treatment that joins these subsystems</w:t>
      </w:r>
      <w:r>
        <w:t xml:space="preserve"> </w:t>
      </w:r>
      <w:r>
        <w:t xml:space="preserve">into one consistent design point, propagates the dominant uncertainties, and states plainly which</w:t>
      </w:r>
      <w:r>
        <w:t xml:space="preserve"> </w:t>
      </w:r>
      <w:r>
        <w:t xml:space="preserve">problems are solved and which are not.</w:t>
      </w:r>
    </w:p>
    <w:p>
      <w:pPr>
        <w:pStyle w:val="BodyText"/>
      </w:pPr>
      <w:r>
        <w:t xml:space="preserve">This paper provides that treatment. The contributions are: (i) an open, validated, end-to-end systems</w:t>
      </w:r>
      <w:r>
        <w:t xml:space="preserve"> </w:t>
      </w:r>
      <w:r>
        <w:t xml:space="preserve">model that closes the mass, power, thermal, and velocity budgets and regenerates every figure and</w:t>
      </w:r>
      <w:r>
        <w:t xml:space="preserve"> </w:t>
      </w:r>
      <w:r>
        <w:t xml:space="preserve">number; (ii) a quantification of the chip-level thermal wall that distinguishes bulk heat rejection,</w:t>
      </w:r>
      <w:r>
        <w:t xml:space="preserve"> </w:t>
      </w:r>
      <w:r>
        <w:t xml:space="preserve">which scales benignly, from the conduction path, which does not; (iii) a statement of the formation</w:t>
      </w:r>
      <w:r>
        <w:t xml:space="preserve"> </w:t>
      </w:r>
      <w:r>
        <w:t xml:space="preserve">paradox, in which the link-budget spacing and the debris-survivability spacing are mutually exclusive</w:t>
      </w:r>
      <w:r>
        <w:t xml:space="preserve"> </w:t>
      </w:r>
      <w:r>
        <w:t xml:space="preserve">with present hardware; and (iv) an independent Monte-Carlo of launch-cost parity that replaces a single</w:t>
      </w:r>
      <w:r>
        <w:t xml:space="preserve"> </w:t>
      </w:r>
      <w:r>
        <w:t xml:space="preserve">optimistic date with a credibility distribution. The running example is the published reference</w:t>
      </w:r>
      <w:r>
        <w:t xml:space="preserve"> </w:t>
      </w:r>
      <w:r>
        <w:t xml:space="preserve">constellation: approximately eighty-one satellites within a one-kilometer-radius cluster in a</w:t>
      </w:r>
      <w:r>
        <w:t xml:space="preserve"> </w:t>
      </w:r>
      <w:r>
        <w:t xml:space="preserve">six-hundred-and-fifty-kilometer dawn-dusk sun-synchronous orbit.</w:t>
      </w:r>
    </w:p>
    <w:bookmarkEnd w:id="10"/>
    <w:bookmarkStart w:id="11" w:name="reference-architecture-and-method"/>
    <w:p>
      <w:pPr>
        <w:pStyle w:val="Heading2"/>
      </w:pPr>
      <w:r>
        <w:t xml:space="preserve">2. Reference architecture and method</w:t>
      </w:r>
    </w:p>
    <w:p>
      <w:pPr>
        <w:pStyle w:val="FirstParagraph"/>
      </w:pPr>
      <w:r>
        <w:t xml:space="preserve">The analysis is first-order by design. Each subsystem is modeled with closed-form or low-order</w:t>
      </w:r>
      <w:r>
        <w:t xml:space="preserve"> </w:t>
      </w:r>
      <w:r>
        <w:t xml:space="preserve">numerical relations and implemented in an open Python package that is validated against worked examples</w:t>
      </w:r>
      <w:r>
        <w:t xml:space="preserve"> </w:t>
      </w:r>
      <w:r>
        <w:t xml:space="preserve">and carries an automated test suite. The models are sizing and risk-ranking tools, not high-fidelity</w:t>
      </w:r>
      <w:r>
        <w:t xml:space="preserve"> </w:t>
      </w:r>
      <w:r>
        <w:t xml:space="preserve">flight-design tools; the explicit limitations are stated in Section 10. Inputs are drawn, with stated</w:t>
      </w:r>
      <w:r>
        <w:t xml:space="preserve"> </w:t>
      </w:r>
      <w:r>
        <w:t xml:space="preserve">confidence, from public agency models, vendor documentation, standard texts, and the</w:t>
      </w:r>
      <w:r>
        <w:t xml:space="preserve"> </w:t>
      </w:r>
      <w:r>
        <w:t xml:space="preserve">reference-architecture preprint, with a strict line kept between demonstrated and projected quantities.</w:t>
      </w:r>
      <w:r>
        <w:t xml:space="preserve"> </w:t>
      </w:r>
      <w:r>
        <w:t xml:space="preserve">The use of generative AI as a drafting aid, and the independent verification of all equations, are</w:t>
      </w:r>
      <w:r>
        <w:t xml:space="preserve"> </w:t>
      </w:r>
      <w:r>
        <w:t xml:space="preserve">described in the accompanying disclosure.</w:t>
      </w:r>
    </w:p>
    <w:bookmarkEnd w:id="11"/>
    <w:bookmarkStart w:id="12" w:name="X1456131377a6fa3a4363fa72f29bd6b4959e855"/>
    <w:p>
      <w:pPr>
        <w:pStyle w:val="Heading2"/>
      </w:pPr>
      <w:r>
        <w:t xml:space="preserve">3. Thermal control: solved, but it does not scale</w:t>
      </w:r>
    </w:p>
    <w:p>
      <w:pPr>
        <w:pStyle w:val="FirstParagraph"/>
      </w:pPr>
      <w:r>
        <w:t xml:space="preserve">In vacuum a body sheds heat only by radiation, and the rejected flux rises with the fourth power of</w:t>
      </w:r>
      <w:r>
        <w:t xml:space="preserve"> </w:t>
      </w:r>
      <w:r>
        <w:t xml:space="preserve">surface temperature, so for a fixed operating temperature the required radiator area is linear in the</w:t>
      </w:r>
      <w:r>
        <w:t xml:space="preserve"> </w:t>
      </w:r>
      <w:r>
        <w:t xml:space="preserve">heat load. A one-megawatt node needs on the order of fifteen hundred square meters of double-sided</w:t>
      </w:r>
      <w:r>
        <w:t xml:space="preserve"> </w:t>
      </w:r>
      <w:r>
        <w:t xml:space="preserve">panel at a warm operating point, consistent with the roughly twelve-hundred-square-meter-per-megawatt</w:t>
      </w:r>
      <w:r>
        <w:t xml:space="preserve"> </w:t>
      </w:r>
      <w:r>
        <w:t xml:space="preserve">rule used in practice. Bulk heat rejection is therefore a mature, predictable problem, and flight</w:t>
      </w:r>
      <w:r>
        <w:t xml:space="preserve"> </w:t>
      </w:r>
      <w:r>
        <w:t xml:space="preserve">hardware already does it.</w:t>
      </w:r>
    </w:p>
    <w:p>
      <w:pPr>
        <w:pStyle w:val="BodyText"/>
      </w:pPr>
      <w:r>
        <w:t xml:space="preserve">The binding limit is the short conduction path between the silicon and the panel. With a passive</w:t>
      </w:r>
      <w:r>
        <w:t xml:space="preserve"> </w:t>
      </w:r>
      <w:r>
        <w:t xml:space="preserve">series resistance of about three-tenths of a kelvin per watt, the temperature rise across the chain is</w:t>
      </w:r>
      <w:r>
        <w:t xml:space="preserve"> </w:t>
      </w:r>
      <w:r>
        <w:t xml:space="preserve">proportional to per-chip power, and above roughly four hundred watts per device the rise across the</w:t>
      </w:r>
      <w:r>
        <w:t xml:space="preserve"> </w:t>
      </w:r>
      <w:r>
        <w:t xml:space="preserve">interface alone exceeds the entire junction-temperature budget. High-power accelerators therefore</w:t>
      </w:r>
      <w:r>
        <w:t xml:space="preserve"> </w:t>
      </w:r>
      <w:r>
        <w:t xml:space="preserve">require pumped-loop or loop-heat-pipe cooling at the die, which is the design choice the flying systems</w:t>
      </w:r>
      <w:r>
        <w:t xml:space="preserve"> </w:t>
      </w:r>
      <w:r>
        <w:t xml:space="preserve">have made. The practical conclusion inverts the popular framing: cooling is the low-risk part of the</w:t>
      </w:r>
      <w:r>
        <w:t xml:space="preserve"> </w:t>
      </w:r>
      <w:r>
        <w:t xml:space="preserve">architecture, and the item to watch is the chip-level thermal interface, not the radiator.</w:t>
      </w:r>
    </w:p>
    <w:bookmarkEnd w:id="12"/>
    <w:bookmarkStart w:id="13" w:name="orbital-lifetime-and-mandatory-disposal"/>
    <w:p>
      <w:pPr>
        <w:pStyle w:val="Heading2"/>
      </w:pPr>
      <w:r>
        <w:t xml:space="preserve">4. Orbital lifetime and mandatory disposal</w:t>
      </w:r>
    </w:p>
    <w:p>
      <w:pPr>
        <w:pStyle w:val="FirstParagraph"/>
      </w:pPr>
      <w:r>
        <w:t xml:space="preserve">At six hundred and fifty kilometers a tenuous atmosphere still removes orbital energy, and the orbit</w:t>
      </w:r>
      <w:r>
        <w:t xml:space="preserve"> </w:t>
      </w:r>
      <w:r>
        <w:t xml:space="preserve">decays. Integrating the drag-driven decay with an empirical density model gives a natural lifetime of</w:t>
      </w:r>
      <w:r>
        <w:t xml:space="preserve"> </w:t>
      </w:r>
      <w:r>
        <w:t xml:space="preserve">about two decades at moderate solar activity, a few years at solar maximum, and centuries at solar</w:t>
      </w:r>
      <w:r>
        <w:t xml:space="preserve"> </w:t>
      </w:r>
      <w:r>
        <w:t xml:space="preserve">minimum. This spread is itself decisive: a disposal strategy cannot rely on natural decay because the</w:t>
      </w:r>
      <w:r>
        <w:t xml:space="preserve"> </w:t>
      </w:r>
      <w:r>
        <w:t xml:space="preserve">relevant solar cycle is not known in advance. The regulatory rule now in force requires removal within</w:t>
      </w:r>
      <w:r>
        <w:t xml:space="preserve"> </w:t>
      </w:r>
      <w:r>
        <w:t xml:space="preserve">five years of end of mission, which the central case fails by a wide margin. Active disposal is</w:t>
      </w:r>
      <w:r>
        <w:t xml:space="preserve"> </w:t>
      </w:r>
      <w:r>
        <w:t xml:space="preserve">therefore mandatory. A controlled Hohmann de-orbit costs about one hundred and thirty meters per</w:t>
      </w:r>
      <w:r>
        <w:t xml:space="preserve"> </w:t>
      </w:r>
      <w:r>
        <w:t xml:space="preserve">second, dominating the velocity budget, with a propellant mass of a few kilograms using electric</w:t>
      </w:r>
      <w:r>
        <w:t xml:space="preserve"> </w:t>
      </w:r>
      <w:r>
        <w:t xml:space="preserve">propulsion. Disposal is a primary mission function with its own mass, propellant, and reliability case.</w:t>
      </w:r>
    </w:p>
    <w:bookmarkEnd w:id="13"/>
    <w:bookmarkStart w:id="14" w:name="X987198687b01ed708375946c95c0597bd678053"/>
    <w:p>
      <w:pPr>
        <w:pStyle w:val="Heading2"/>
      </w:pPr>
      <w:r>
        <w:t xml:space="preserve">5. Radiation: survivable, with a throughput tax</w:t>
      </w:r>
    </w:p>
    <w:p>
      <w:pPr>
        <w:pStyle w:val="FirstParagraph"/>
      </w:pPr>
      <w:r>
        <w:t xml:space="preserve">Two distinct radiation effects matter. Accumulated dose behind a centimeter of aluminium is about one</w:t>
      </w:r>
      <w:r>
        <w:t xml:space="preserve"> </w:t>
      </w:r>
      <w:r>
        <w:t xml:space="preserve">kilorad over five years, comfortably under the mission requirement and well under the levels at which</w:t>
      </w:r>
      <w:r>
        <w:t xml:space="preserve"> </w:t>
      </w:r>
      <w:r>
        <w:t xml:space="preserve">the ground-tested processor first showed memory irregularities, with no hard failures observed to far</w:t>
      </w:r>
      <w:r>
        <w:t xml:space="preserve"> </w:t>
      </w:r>
      <w:r>
        <w:t xml:space="preserve">higher doses. Total dose is therefore survivable with margin. The cost is single-event upsets: at</w:t>
      </w:r>
      <w:r>
        <w:t xml:space="preserve"> </w:t>
      </w:r>
      <w:r>
        <w:t xml:space="preserve">orbital particle rates these are frequent enough to matter, but because machine-learning inference</w:t>
      </w:r>
      <w:r>
        <w:t xml:space="preserve"> </w:t>
      </w:r>
      <w:r>
        <w:t xml:space="preserve">tolerates occasional bit flips, the efficient design is error-correcting memory plus periodic</w:t>
      </w:r>
      <w:r>
        <w:t xml:space="preserve"> </w:t>
      </w:r>
      <w:r>
        <w:t xml:space="preserve">checkpointing rather than full triple redundancy. The penalty is a ten to twenty percent throughput</w:t>
      </w:r>
      <w:r>
        <w:t xml:space="preserve"> </w:t>
      </w:r>
      <w:r>
        <w:t xml:space="preserve">tax that should be carried explicitly in the compute budget.</w:t>
      </w:r>
    </w:p>
    <w:bookmarkEnd w:id="14"/>
    <w:bookmarkStart w:id="15" w:name="debris-and-the-formation-paradox"/>
    <w:p>
      <w:pPr>
        <w:pStyle w:val="Heading2"/>
      </w:pPr>
      <w:r>
        <w:t xml:space="preserve">6. Debris and the formation paradox</w:t>
      </w:r>
    </w:p>
    <w:p>
      <w:pPr>
        <w:pStyle w:val="FirstParagraph"/>
      </w:pPr>
      <w:r>
        <w:t xml:space="preserve">The orbital shell near six hundred kilometers is the most congested region of low Earth orbit. Treating</w:t>
      </w:r>
      <w:r>
        <w:t xml:space="preserve"> </w:t>
      </w:r>
      <w:r>
        <w:t xml:space="preserve">catastrophic impacts as a Poisson process, the probability that at least one member of an</w:t>
      </w:r>
      <w:r>
        <w:t xml:space="preserve"> </w:t>
      </w:r>
      <w:r>
        <w:t xml:space="preserve">eighty-one-satellite cluster suffers a catastrophic impact over five years is, on a central reading of</w:t>
      </w:r>
      <w:r>
        <w:t xml:space="preserve"> </w:t>
      </w:r>
      <w:r>
        <w:t xml:space="preserve">the tracked-fragment flux, on the order of one in six, with a wide band. The deeper hazard is coupling:</w:t>
      </w:r>
      <w:r>
        <w:t xml:space="preserve"> </w:t>
      </w:r>
      <w:r>
        <w:t xml:space="preserve">a single fragmentation sprays lethal debris into the volume the neighbors occupy, and the probability</w:t>
      </w:r>
      <w:r>
        <w:t xml:space="preserve"> </w:t>
      </w:r>
      <w:r>
        <w:t xml:space="preserve">that a neighbor is struck grows as the inverse square of the spacing. At the close spacing the</w:t>
      </w:r>
      <w:r>
        <w:t xml:space="preserve"> </w:t>
      </w:r>
      <w:r>
        <w:t xml:space="preserve">architecture adopts, this neighbor-to-neighbor hazard is high enough to raise the prospect of a</w:t>
      </w:r>
      <w:r>
        <w:t xml:space="preserve"> </w:t>
      </w:r>
      <w:r>
        <w:t xml:space="preserve">cascade. Widening the formation to a kilometer suppresses the coupling below a percent but, as Section</w:t>
      </w:r>
      <w:r>
        <w:t xml:space="preserve"> </w:t>
      </w:r>
      <w:r>
        <w:t xml:space="preserve">7 shows, breaks the optical-link budget. This mutual exclusivity, link spacing against debris spacing,</w:t>
      </w:r>
      <w:r>
        <w:t xml:space="preserve"> </w:t>
      </w:r>
      <w:r>
        <w:t xml:space="preserve">is the binding and still-unsolved constraint on the concept.</w:t>
      </w:r>
    </w:p>
    <w:bookmarkEnd w:id="15"/>
    <w:bookmarkStart w:id="16" w:name="X0fa3b2135956c1098d254615113b03e229c1190"/>
    <w:p>
      <w:pPr>
        <w:pStyle w:val="Heading2"/>
      </w:pPr>
      <w:r>
        <w:t xml:space="preserve">7. Communications and why the formation is tight</w:t>
      </w:r>
    </w:p>
    <w:p>
      <w:pPr>
        <w:pStyle w:val="FirstParagraph"/>
      </w:pPr>
      <w:r>
        <w:t xml:space="preserve">A constellation is useful only if the accelerators exchange data at very high bandwidth. In orbit the</w:t>
      </w:r>
      <w:r>
        <w:t xml:space="preserve"> </w:t>
      </w:r>
      <w:r>
        <w:t xml:space="preserve">links are optical, and an optical beam spreads as it travels, so the fraction of transmitted power</w:t>
      </w:r>
      <w:r>
        <w:t xml:space="preserve"> </w:t>
      </w:r>
      <w:r>
        <w:t xml:space="preserve">captured by the receiver falls with the square of range. With terminal parameters that exist today, a</w:t>
      </w:r>
      <w:r>
        <w:t xml:space="preserve"> </w:t>
      </w:r>
      <w:r>
        <w:t xml:space="preserve">modest single link closes reliably only to a few thousand kilometers, and the many-terabit aggregate</w:t>
      </w:r>
      <w:r>
        <w:t xml:space="preserve"> </w:t>
      </w:r>
      <w:r>
        <w:t xml:space="preserve">the architecture assumes is reachable, with present hardware, only at a spacing of about one hundred</w:t>
      </w:r>
      <w:r>
        <w:t xml:space="preserve"> </w:t>
      </w:r>
      <w:r>
        <w:t xml:space="preserve">and fifty meters. The tight cluster is therefore forced by the inverse-square behavior of the link,</w:t>
      </w:r>
      <w:r>
        <w:t xml:space="preserve"> </w:t>
      </w:r>
      <w:r>
        <w:t xml:space="preserve">and it is the same spacing that the debris analysis shows to be dangerous. Resolving this tension,</w:t>
      </w:r>
      <w:r>
        <w:t xml:space="preserve"> </w:t>
      </w:r>
      <w:r>
        <w:t xml:space="preserve">through far better optical terminals or through fast autonomous collision avoidance at sub-kilometer</w:t>
      </w:r>
      <w:r>
        <w:t xml:space="preserve"> </w:t>
      </w:r>
      <w:r>
        <w:t xml:space="preserve">spacing, is the central research problem the demonstrators should address.</w:t>
      </w:r>
    </w:p>
    <w:bookmarkEnd w:id="16"/>
    <w:bookmarkStart w:id="17" w:name="power-attitude-and-delivered-compute"/>
    <w:p>
      <w:pPr>
        <w:pStyle w:val="Heading2"/>
      </w:pPr>
      <w:r>
        <w:t xml:space="preserve">8. Power, attitude, and delivered compute</w:t>
      </w:r>
    </w:p>
    <w:p>
      <w:pPr>
        <w:pStyle w:val="FirstParagraph"/>
      </w:pPr>
      <w:r>
        <w:t xml:space="preserve">The dawn-dusk orbit is sunlit for more than ninety-five percent of each revolution, so the battery is</w:t>
      </w:r>
      <w:r>
        <w:t xml:space="preserve"> </w:t>
      </w:r>
      <w:r>
        <w:t xml:space="preserve">small and the thermal environment is steady. Multi-junction arrays deliver a few hundred watts per</w:t>
      </w:r>
      <w:r>
        <w:t xml:space="preserve"> </w:t>
      </w:r>
      <w:r>
        <w:t xml:space="preserve">square meter at end of life. The optical links require pointing finer than the spacecraft bus can hold,</w:t>
      </w:r>
      <w:r>
        <w:t xml:space="preserve"> </w:t>
      </w:r>
      <w:r>
        <w:t xml:space="preserve">so a fast-steering mirror provides the sub-microradian correction. Delivered compute is the peak</w:t>
      </w:r>
      <w:r>
        <w:t xml:space="preserve"> </w:t>
      </w:r>
      <w:r>
        <w:t xml:space="preserve">capability reduced by real utilization and the radiation tax; because inference utilization is often</w:t>
      </w:r>
      <w:r>
        <w:t xml:space="preserve"> </w:t>
      </w:r>
      <w:r>
        <w:t xml:space="preserve">low, the honest cost per useful operation is several times the figure obtained by dividing price by</w:t>
      </w:r>
      <w:r>
        <w:t xml:space="preserve"> </w:t>
      </w:r>
      <w:r>
        <w:t xml:space="preserve">peak throughput.</w:t>
      </w:r>
    </w:p>
    <w:bookmarkEnd w:id="17"/>
    <w:bookmarkStart w:id="18" w:name="Xf3ecff1317fc5e64ffdf6454cbb3200a75f4ae4"/>
    <w:p>
      <w:pPr>
        <w:pStyle w:val="Heading2"/>
      </w:pPr>
      <w:r>
        <w:t xml:space="preserve">9. Economics: parity is unlikely, not merely late</w:t>
      </w:r>
    </w:p>
    <w:p>
      <w:pPr>
        <w:pStyle w:val="FirstParagraph"/>
      </w:pPr>
      <w:r>
        <w:t xml:space="preserve">The economic case rests on launch cost falling far enough that the annualized cost of power in orbit</w:t>
      </w:r>
      <w:r>
        <w:t xml:space="preserve"> </w:t>
      </w:r>
      <w:r>
        <w:t xml:space="preserve">approaches the terrestrial cost of power, a crossover usually placed near two hundred dollars per</w:t>
      </w:r>
      <w:r>
        <w:t xml:space="preserve"> </w:t>
      </w:r>
      <w:r>
        <w:t xml:space="preserve">kilogram. We test this with a Wright learning curve on cumulative launched mass, with a logistic</w:t>
      </w:r>
      <w:r>
        <w:t xml:space="preserve"> </w:t>
      </w:r>
      <w:r>
        <w:t xml:space="preserve">cadence ramp, sampling the learning rate, the starting price, the payload, and the cadence by</w:t>
      </w:r>
      <w:r>
        <w:t xml:space="preserve"> </w:t>
      </w:r>
      <w:r>
        <w:t xml:space="preserve">Monte-Carlo. The result is sobering in a way a single date hides: across the sampled futures only a</w:t>
      </w:r>
      <w:r>
        <w:t xml:space="preserve"> </w:t>
      </w:r>
      <w:r>
        <w:t xml:space="preserve">small minority, about one in twenty, ever reach the target price within the horizon, and the large</w:t>
      </w:r>
      <w:r>
        <w:t xml:space="preserve"> </w:t>
      </w:r>
      <w:r>
        <w:t xml:space="preserve">majority never do. Conditional on the minority that reach it, the median arrival is near 2044, with a</w:t>
      </w:r>
      <w:r>
        <w:t xml:space="preserve"> </w:t>
      </w:r>
      <w:r>
        <w:t xml:space="preserve">fifth percentile of about 2037 and essentially no probability by 2035. Extending the horizon raises the</w:t>
      </w:r>
      <w:r>
        <w:t xml:space="preserve"> </w:t>
      </w:r>
      <w:r>
        <w:t xml:space="preserve">reaching fraction only into the high single digits. Parity at this price is therefore unlikely under</w:t>
      </w:r>
      <w:r>
        <w:t xml:space="preserve"> </w:t>
      </w:r>
      <w:r>
        <w:t xml:space="preserve">most assumptions rather than merely late, and it is necessary but not sufficient: hardware cost,</w:t>
      </w:r>
      <w:r>
        <w:t xml:space="preserve"> </w:t>
      </w:r>
      <w:r>
        <w:t xml:space="preserve">lifetime, and utilization gate the economics regardless.</w:t>
      </w:r>
    </w:p>
    <w:bookmarkEnd w:id="18"/>
    <w:bookmarkStart w:id="19" w:name="Xa365679981bbb4507f3d543d742d483611ec092"/>
    <w:p>
      <w:pPr>
        <w:pStyle w:val="Heading2"/>
      </w:pPr>
      <w:r>
        <w:t xml:space="preserve">10. Readiness, limitations, and the recommended program</w:t>
      </w:r>
    </w:p>
    <w:p>
      <w:pPr>
        <w:pStyle w:val="FirstParagraph"/>
      </w:pPr>
      <w:r>
        <w:t xml:space="preserve">Scored against the standard readiness scale, the components sit in the middle: an accelerator has</w:t>
      </w:r>
      <w:r>
        <w:t xml:space="preserve"> </w:t>
      </w:r>
      <w:r>
        <w:t xml:space="preserve">flown, a processor has been radiation-tested, kilowatt-class thermal hardware has flown. Everything</w:t>
      </w:r>
      <w:r>
        <w:t xml:space="preserve"> </w:t>
      </w:r>
      <w:r>
        <w:t xml:space="preserve">that depends on the constellation acting as one system, the flown multi-terabit formation link,</w:t>
      </w:r>
      <w:r>
        <w:t xml:space="preserve"> </w:t>
      </w:r>
      <w:r>
        <w:t xml:space="preserve">station-keeping through a solar cycle, and autonomous cluster-coordinated collision avoidance, sits</w:t>
      </w:r>
      <w:r>
        <w:t xml:space="preserve"> </w:t>
      </w:r>
      <w:r>
        <w:t xml:space="preserve">near the bottom. That gap is the program risk.</w:t>
      </w:r>
    </w:p>
    <w:p>
      <w:pPr>
        <w:pStyle w:val="BodyText"/>
      </w:pPr>
      <w:r>
        <w:t xml:space="preserve">The analysis is first-order. It omits a multi-node thermal finite-element model, runs of the official</w:t>
      </w:r>
      <w:r>
        <w:t xml:space="preserve"> </w:t>
      </w:r>
      <w:r>
        <w:t xml:space="preserve">agency debris and dose tools, a closed-loop attitude-control simulation, micrometeoroid shielding</w:t>
      </w:r>
      <w:r>
        <w:t xml:space="preserve"> </w:t>
      </w:r>
      <w:r>
        <w:t xml:space="preserve">sizing, and a full time-domain mission simulation; a flight program would add these. The most</w:t>
      </w:r>
      <w:r>
        <w:t xml:space="preserve"> </w:t>
      </w:r>
      <w:r>
        <w:t xml:space="preserve">load-bearing single source is a non-peer-reviewed vendor preprint, and the per-chip power of the</w:t>
      </w:r>
      <w:r>
        <w:t xml:space="preserve"> </w:t>
      </w:r>
      <w:r>
        <w:t xml:space="preserve">reference accelerator is undisclosed and treated as a band.</w:t>
      </w:r>
    </w:p>
    <w:p>
      <w:pPr>
        <w:pStyle w:val="BodyText"/>
      </w:pPr>
      <w:r>
        <w:t xml:space="preserve">The recommended program follows the risk. Small, attritable demonstrators should retire the</w:t>
      </w:r>
      <w:r>
        <w:t xml:space="preserve"> </w:t>
      </w:r>
      <w:r>
        <w:t xml:space="preserve">survivability and autonomy questions: fly the formation link, hold the close formation through a real</w:t>
      </w:r>
      <w:r>
        <w:t xml:space="preserve"> </w:t>
      </w:r>
      <w:r>
        <w:t xml:space="preserve">solar cycle, demonstrate a coordinated avoidance maneuver, and prove a clean disposal. Those</w:t>
      </w:r>
      <w:r>
        <w:t xml:space="preserve"> </w:t>
      </w:r>
      <w:r>
        <w:t xml:space="preserve">milestones, not another record on heat rejection, should gate any decision to build at constellation</w:t>
      </w:r>
      <w:r>
        <w:t xml:space="preserve"> </w:t>
      </w:r>
      <w:r>
        <w:t xml:space="preserve">scale.</w:t>
      </w:r>
    </w:p>
    <w:bookmarkEnd w:id="19"/>
    <w:bookmarkStart w:id="20" w:name="conclusions"/>
    <w:p>
      <w:pPr>
        <w:pStyle w:val="Heading2"/>
      </w:pPr>
      <w:r>
        <w:t xml:space="preserve">11. Conclusions</w:t>
      </w:r>
    </w:p>
    <w:p>
      <w:pPr>
        <w:pStyle w:val="FirstParagraph"/>
      </w:pPr>
      <w:r>
        <w:t xml:space="preserve">Cooling already works and scales predictably; radiation is survivable with a bounded penalty; power</w:t>
      </w:r>
      <w:r>
        <w:t xml:space="preserve"> </w:t>
      </w:r>
      <w:r>
        <w:t xml:space="preserve">and attitude are in hand. The frontier that decides whether orbital artificial-intelligence compute</w:t>
      </w:r>
      <w:r>
        <w:t xml:space="preserve"> </w:t>
      </w:r>
      <w:r>
        <w:t xml:space="preserve">becomes infrastructure is the cluster of debris survivability in a tight formation, credible</w:t>
      </w:r>
      <w:r>
        <w:t xml:space="preserve"> </w:t>
      </w:r>
      <w:r>
        <w:t xml:space="preserve">propulsive disposal, a flown high-bandwidth formation link, and launch economics that are later and</w:t>
      </w:r>
      <w:r>
        <w:t xml:space="preserve"> </w:t>
      </w:r>
      <w:r>
        <w:t xml:space="preserve">far less certain than the headline. The physics of cooling is not what stands between the present and</w:t>
      </w:r>
      <w:r>
        <w:t xml:space="preserve"> </w:t>
      </w:r>
      <w:r>
        <w:t xml:space="preserve">orbital data centers; the physics of flying many expensive machines very close together, in the most</w:t>
      </w:r>
      <w:r>
        <w:t xml:space="preserve"> </w:t>
      </w:r>
      <w:r>
        <w:t xml:space="preserve">crowded shell of near-Earth space, for years, and bringing each one safely home, is.</w:t>
      </w:r>
    </w:p>
    <w:bookmarkEnd w:id="20"/>
    <w:bookmarkStart w:id="21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All models, derivations, figures, and the simulations behind every number are openly available at</w:t>
      </w:r>
      <w:r>
        <w:t xml:space="preserve"> </w:t>
      </w:r>
      <w:r>
        <w:t xml:space="preserve">github.com/Samarjithbiswas/space-based-ai-datacenter (release v1.0), under the MIT License (code) and</w:t>
      </w:r>
      <w:r>
        <w:t xml:space="preserve"> </w:t>
      </w:r>
      <w:r>
        <w:t xml:space="preserve">CC-BY 4.0 (text and figures). A single command reproduces the full analysis.</w:t>
      </w:r>
    </w:p>
    <w:bookmarkEnd w:id="21"/>
    <w:bookmarkStart w:id="22" w:name="disclosure"/>
    <w:p>
      <w:pPr>
        <w:pStyle w:val="Heading2"/>
      </w:pPr>
      <w:r>
        <w:t xml:space="preserve">Disclosure</w:t>
      </w:r>
    </w:p>
    <w:p>
      <w:pPr>
        <w:pStyle w:val="FirstParagraph"/>
      </w:pPr>
      <w:r>
        <w:t xml:space="preserve">See the accompanying methods and AI-use disclosure. Generative AI was used as a drafting aid; all</w:t>
      </w:r>
      <w:r>
        <w:t xml:space="preserve"> </w:t>
      </w:r>
      <w:r>
        <w:t xml:space="preserve">quantitative claims are produced by the open code or cited primary sources, all equations were</w:t>
      </w:r>
      <w:r>
        <w:t xml:space="preserve"> </w:t>
      </w:r>
      <w:r>
        <w:t xml:space="preserve">independently verified, and the author is solely responsible for the content.</w:t>
      </w:r>
    </w:p>
    <w:bookmarkEnd w:id="22"/>
    <w:bookmarkStart w:id="23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 full, categorized bibliography of thirty-five sources, including Curtis and Vallado (astrodynamics),</w:t>
      </w:r>
      <w:r>
        <w:t xml:space="preserve"> </w:t>
      </w:r>
      <w:r>
        <w:t xml:space="preserve">the NRLMSIS atmosphere model, the AE/AP and SHIELDOSE radiation models, NASA ORDEM and ESA MASTER</w:t>
      </w:r>
      <w:r>
        <w:t xml:space="preserve"> </w:t>
      </w:r>
      <w:r>
        <w:t xml:space="preserve">debris tools, Kessler and Cour-Palais and Klinkrad (debris cascade), Hemmati and the free-space</w:t>
      </w:r>
      <w:r>
        <w:t xml:space="preserve"> </w:t>
      </w:r>
      <w:r>
        <w:t xml:space="preserve">optical link-budget literature, Gilmore and Incropera (thermal), Sutton and Biblarz (propulsion), the</w:t>
      </w:r>
      <w:r>
        <w:t xml:space="preserve"> </w:t>
      </w:r>
      <w:r>
        <w:t xml:space="preserve">SMAD systems texts, the FCC disposal rule, and the reference-architecture preprint (arXiv:2511.19468),</w:t>
      </w:r>
      <w:r>
        <w:t xml:space="preserve"> </w:t>
      </w:r>
      <w:r>
        <w:t xml:space="preserve">is provided in the accompanying monograph and repository.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2026-06-23T15:43:38Z</dcterms:created>
  <dcterms:modified xsi:type="dcterms:W3CDTF">2026-06-23T15:43:38Z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