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i/>
          <w:iCs/>
        </w:rPr>
        <w:t xml:space="preserve">Space-Based Data Center Infrastructure: A Multi-Physics</w:t>
      </w:r>
      <w:r>
        <w:rPr>
          <w:i/>
          <w:iCs/>
        </w:rPr>
        <w:t xml:space="preserve"> </w:t>
      </w:r>
      <w:r>
        <w:rPr>
          <w:i/>
          <w:iCs/>
        </w:rPr>
        <w:t xml:space="preserve">Feasibility and Survivability Study</w:t>
      </w:r>
      <w:r>
        <w:t xml:space="preserve">, for publication.</w:t>
      </w:r>
    </w:p>
    <w:p>
      <w:pPr>
        <w:pStyle w:val="BodyText"/>
      </w:pPr>
      <w:r>
        <w:t xml:space="preserve">Space-based artificial-intelligence data centers have moved from concept to early flight hardware</w:t>
      </w:r>
      <w:r>
        <w:t xml:space="preserve"> </w:t>
      </w:r>
      <w:r>
        <w:t xml:space="preserve">within the past year, yet the public case rests largely on a non-peer-reviewed vendor preprint and on</w:t>
      </w:r>
      <w:r>
        <w:t xml:space="preserve"> </w:t>
      </w:r>
      <w:r>
        <w:t xml:space="preserve">optimistic single-point projections. This manuscript provides what has been missing: an integrated,</w:t>
      </w:r>
      <w:r>
        <w:t xml:space="preserve"> </w:t>
      </w:r>
      <w:r>
        <w:t xml:space="preserve">first-order, and fully reproducible systems-engineering analysis that joins the thermal, orbital,</w:t>
      </w:r>
      <w:r>
        <w:t xml:space="preserve"> </w:t>
      </w:r>
      <w:r>
        <w:t xml:space="preserve">radiation, debris, communications, power, propulsion, reliability, compute, and economic subsystems</w:t>
      </w:r>
      <w:r>
        <w:t xml:space="preserve"> </w:t>
      </w:r>
      <w:r>
        <w:t xml:space="preserve">into one consistent design point and propagates the dominant uncertainties.</w:t>
      </w:r>
    </w:p>
    <w:p>
      <w:pPr>
        <w:pStyle w:val="BodyText"/>
      </w:pPr>
      <w:r>
        <w:t xml:space="preserve">The central findings reframe the problem. Radiative cooling, widely assumed to be the hard problem,</w:t>
      </w:r>
      <w:r>
        <w:t xml:space="preserve"> </w:t>
      </w:r>
      <w:r>
        <w:t xml:space="preserve">is the mature part of the architecture; the binding constraints are instead orbital-debris</w:t>
      </w:r>
      <w:r>
        <w:t xml:space="preserve"> </w:t>
      </w:r>
      <w:r>
        <w:t xml:space="preserve">survivability in a tight formation, mandatory active disposal, and launch economics. The manuscript</w:t>
      </w:r>
      <w:r>
        <w:t xml:space="preserve"> </w:t>
      </w:r>
      <w:r>
        <w:t xml:space="preserve">identifies a structural formation paradox, in which the spacing required by the optical links is the</w:t>
      </w:r>
      <w:r>
        <w:t xml:space="preserve"> </w:t>
      </w:r>
      <w:r>
        <w:t xml:space="preserve">same spacing that makes a collision cascade dangerous, and it replaces the usual single cost-parity</w:t>
      </w:r>
      <w:r>
        <w:t xml:space="preserve"> </w:t>
      </w:r>
      <w:r>
        <w:t xml:space="preserve">date with a Monte-Carlo credibility distribution showing that parity at the assumed price is unlikely</w:t>
      </w:r>
      <w:r>
        <w:t xml:space="preserve"> </w:t>
      </w:r>
      <w:r>
        <w:t xml:space="preserve">under most assumptions rather than merely late.</w:t>
      </w:r>
    </w:p>
    <w:p>
      <w:pPr>
        <w:pStyle w:val="BodyText"/>
      </w:pPr>
      <w:r>
        <w:t xml:space="preserve">The work is original and the author’s own. Every figure and number is regenerated by an open-source</w:t>
      </w:r>
      <w:r>
        <w:t xml:space="preserve"> </w:t>
      </w:r>
      <w:r>
        <w:t xml:space="preserve">model with an automated test suite, released under a permissive licence; the model and the full</w:t>
      </w:r>
      <w:r>
        <w:t xml:space="preserve"> </w:t>
      </w:r>
      <w:r>
        <w:t xml:space="preserve">derivations are available for review. The manuscript states its first-order limitations explicitly and</w:t>
      </w:r>
      <w:r>
        <w:t xml:space="preserve"> </w:t>
      </w:r>
      <w:r>
        <w:t xml:space="preserve">maintains a strict distinction between demonstrated capability and projection. Generative AI was used</w:t>
      </w:r>
      <w:r>
        <w:t xml:space="preserve"> </w:t>
      </w:r>
      <w:r>
        <w:t xml:space="preserve">as a drafting aid only; all quantitative claims derive from the open code or cited primary sources, all</w:t>
      </w:r>
      <w:r>
        <w:t xml:space="preserve"> </w:t>
      </w:r>
      <w:r>
        <w:t xml:space="preserve">equations were independently verified, and the author is solely responsible for the content, as</w:t>
      </w:r>
      <w:r>
        <w:t xml:space="preserve"> </w:t>
      </w:r>
      <w:r>
        <w:t xml:space="preserve">detailed in the enclosed disclosure.</w:t>
      </w:r>
    </w:p>
    <w:p>
      <w:pPr>
        <w:pStyle w:val="BodyText"/>
      </w:pPr>
      <w:r>
        <w:t xml:space="preserve">The manuscript has not been published elsewhere and is not under consideration by another venue.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Samarjith Biswas, PhD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2026-06-23T15:43:38Z</dcterms:created>
  <dcterms:modified xsi:type="dcterms:W3CDTF">2026-06-23T15:43:38Z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