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43.png" ContentType="image/png"/>
  <Override PartName="/word/media/rId85.png" ContentType="image/png"/>
  <Override PartName="/word/media/rId88.png" ContentType="image/png"/>
  <Override PartName="/word/media/rId63.png" ContentType="image/png"/>
  <Override PartName="/word/media/rId107.png" ContentType="image/png"/>
  <Override PartName="/word/media/rId23.png" ContentType="image/png"/>
  <Override PartName="/word/media/rId40.png" ContentType="image/png"/>
  <Override PartName="/word/media/rId37.png" ContentType="image/png"/>
  <Override PartName="/word/media/rId56.png" ContentType="image/png"/>
  <Override PartName="/word/media/rId31.png" ContentType="image/png"/>
  <Override PartName="/word/media/rId93.png" ContentType="image/png"/>
  <Override PartName="/word/media/rId51.png" ContentType="image/png"/>
  <Override PartName="/word/media/rId100.png" ContentType="image/png"/>
  <Override PartName="/word/media/rId59.png" ContentType="image/png"/>
  <Override PartName="/word/media/rId96.png" ContentType="image/png"/>
  <Override PartName="/word/media/rId76.png" ContentType="image/png"/>
  <Override PartName="/word/media/rId81.png" ContentType="image/png"/>
  <Override PartName="/word/media/rId71.png" ContentType="image/png"/>
  <Override PartName="/word/media/rId47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8"/>
    <w:bookmarkStart w:id="19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36" w:name="part-ii-the-orbital-environment"/>
    <w:p>
      <w:pPr>
        <w:pStyle w:val="Heading1"/>
      </w:pPr>
      <w:r>
        <w:t xml:space="preserve">PART II, THE ORBITAL ENVIRONMENT</w:t>
      </w:r>
    </w:p>
    <w:bookmarkStart w:id="21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rPr>
          <w:i/>
          <w:iCs/>
        </w:rPr>
        <w:t xml:space="preserve">Sources: the circular-orbit relations, vis-viva equation, and specific energy follow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astrodynamics texts, principally Curtis [16] and Vallado [17].</w:t>
      </w:r>
    </w:p>
    <w:p>
      <w:pPr>
        <w:pStyle w:val="BodyText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1"/>
    <w:bookmarkStart w:id="22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Origin of the precession.</w:t>
      </w:r>
      <w:r>
        <w:t xml:space="preserve"> </w:t>
      </w:r>
      <w:r>
        <w:t xml:space="preserve">Earth’s gravitational potential, expanded in zonal harmonics and kept</w:t>
      </w:r>
      <w:r>
        <w:t xml:space="preserve"> </w:t>
      </w:r>
      <w:r>
        <w:t xml:space="preserve">to the leading oblateness term, is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geocentric latitude and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second Legendre polynomial. The term beyond the</w:t>
      </w:r>
      <w:r>
        <w:t xml:space="preserve"> </w:t>
      </w:r>
      <w:r>
        <w:t xml:space="preserve">point-mass field is the disturbing function</w:t>
      </w:r>
      <w:r>
        <w:t xml:space="preserve"> </w:t>
      </w:r>
      <m:oMath>
        <m:r>
          <m:t>R</m:t>
        </m:r>
      </m:oMath>
      <w:r>
        <w:t xml:space="preserve">. Writing the latitude through the orbital geometry,</w:t>
      </w:r>
      <w:r>
        <w:t xml:space="preserve"> </w:t>
      </w:r>
      <m:oMath>
        <m:r>
          <m:rPr>
            <m:sty m:val="p"/>
          </m:rPr>
          <m:t>sin</m:t>
        </m:r>
        <m:r>
          <m:t>ϕ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i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true anomaly, and averaging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over one</w:t>
      </w:r>
      <w:r>
        <w:t xml:space="preserve"> </w:t>
      </w:r>
      <w:r>
        <w:t xml:space="preserve">revolution removes the short-period terms and leaves the secular part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Lagrange’s planetary equation for the node connects this averaged potential to the drift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t>i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Carrying out the derivative of (5.3) with respect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t>i</m:t>
        </m:r>
        <m:r>
          <m:rPr>
            <m:sty m:val="p"/>
          </m:rPr>
          <m:t>∝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cos</m:t>
        </m:r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sin</m:t>
        </m:r>
        <m:r>
          <m:t>i</m:t>
        </m:r>
      </m:oMath>
      <w:r>
        <w:t xml:space="preserve"> </w:t>
      </w:r>
      <w:r>
        <w:t xml:space="preserve">in the denominator of (5.4) cancels, leaving the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</m:oMath>
      <w:r>
        <w:t xml:space="preserve"> </w:t>
      </w:r>
      <w:r>
        <w:t xml:space="preserve">dependence of (5.1). The</w:t>
      </w:r>
      <w:r>
        <w:t xml:space="preserve"> </w:t>
      </w:r>
      <w:r>
        <w:t xml:space="preserve">result is exact at first order in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 eccentricity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the semi-latus rectum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the near-circular reference orbit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a</m:t>
        </m:r>
      </m:oMath>
      <w:r>
        <w:t xml:space="preserve"> </w:t>
      </w:r>
      <w:r>
        <w:t xml:space="preserve">and (5.1) follows directly. The sign</w:t>
      </w:r>
      <w:r>
        <w:t xml:space="preserve"> </w:t>
      </w:r>
      <w:r>
        <w:t xml:space="preserve">is negative for prograde orbits (</w:t>
      </w:r>
      <m:oMath>
        <m:r>
          <m:t>i</m:t>
        </m:r>
        <m:r>
          <m:rPr>
            <m:sty m:val="p"/>
          </m:rPr>
          <m:t>&lt;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so the node regresses, and positive for retrograde</w:t>
      </w:r>
      <w:r>
        <w:t xml:space="preserve"> </w:t>
      </w:r>
      <w:r>
        <w:t xml:space="preserve">orbits, which is what makes synchronization with the Sun possible.</w:t>
      </w:r>
    </w:p>
    <w:p>
      <w:pPr>
        <w:pStyle w:val="BodyText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(5.5)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 and the value returned by</w:t>
      </w:r>
      <w:r>
        <w:t xml:space="preserve"> </w:t>
      </w:r>
      <w:r>
        <w:rPr>
          <w:rStyle w:val="VerbatimChar"/>
        </w:rPr>
        <w:t xml:space="preserve">orbital_dc.orbit.sso_inclination(650)</w:t>
      </w:r>
      <w:r>
        <w:t xml:space="preserve">. By</w:t>
      </w:r>
      <w:r>
        <w:t xml:space="preserve"> </w:t>
      </w:r>
      <w:r>
        <w:t xml:space="preserve">construction the corresponding nodal precession is</w:t>
      </w:r>
      <w:r>
        <w:t xml:space="preserve"> </w:t>
      </w:r>
      <m:oMath>
        <m:r>
          <m:t>0.9856</m:t>
        </m:r>
      </m:oMath>
      <w:r>
        <w:t xml:space="preserve"> </w:t>
      </w:r>
      <w:r>
        <w:t xml:space="preserve">degrees per day, exactly one turn per</w:t>
      </w:r>
      <w:r>
        <w:t xml:space="preserve"> </w:t>
      </w:r>
      <w:r>
        <w:t xml:space="preserve">tropical year, which is the defining property of the orbit. The required inclination rises slowly with</w:t>
      </w:r>
      <w:r>
        <w:t xml:space="preserve"> </w:t>
      </w:r>
      <w:r>
        <w:t xml:space="preserve">altitude, from about</w:t>
      </w:r>
      <w:r>
        <w:t xml:space="preserve"> </w:t>
      </w:r>
      <m:oMath>
        <m:sSup>
          <m:e>
            <m:r>
              <m:t>96.3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200 kilometers to</w:t>
      </w:r>
      <w:r>
        <w:t xml:space="preserve"> </w:t>
      </w:r>
      <m:oMath>
        <m:sSup>
          <m:e>
            <m:r>
              <m:t>98.6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800 kilometers, because the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factor in (5.5) outpaces the fall in</w:t>
      </w:r>
      <w:r>
        <w:t xml:space="preserve"> </w:t>
      </w:r>
      <m:oMath>
        <m:r>
          <m:t>n</m:t>
        </m:r>
      </m:oMath>
      <w:r>
        <w:t xml:space="preserve">. The dawn-dusk variant orients the orbital</w:t>
      </w:r>
      <w:r>
        <w:t xml:space="preserve"> </w:t>
      </w:r>
      <w:r>
        <w:t xml:space="preserve">plane near Earth’s terminator, which (Chapter 6) yields nearly continuous sunlight and minimal thermal</w:t>
      </w:r>
      <w:r>
        <w:t xml:space="preserve"> </w:t>
      </w:r>
      <w:r>
        <w:t xml:space="preserve">cycling, a decisive advantage for a high-power, thermally sensitive payload.</w:t>
      </w:r>
    </w:p>
    <w:bookmarkEnd w:id="22"/>
    <w:bookmarkStart w:id="26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Derivation from the cylindrical shadow.</w:t>
      </w:r>
      <w:r>
        <w:t xml:space="preserve"> </w:t>
      </w:r>
      <w:r>
        <w:t xml:space="preserve">Treat Earth’s shadow as a half-infinite cylinder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pointing away from the Sun, a good approximation in low Earth orbit where the penumbra is narrow</w:t>
      </w:r>
      <w:r>
        <w:t xml:space="preserve"> </w:t>
      </w:r>
      <w:r>
        <w:t xml:space="preserve">and the Sun is effectively at infinity. A point on the circular orbit of radius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w:r>
        <w:t xml:space="preserve">shadow when its distance from the shadow axis is less than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 it is on the anti-sun side. Resolve</w:t>
      </w:r>
      <w:r>
        <w:t xml:space="preserve"> </w:t>
      </w:r>
      <w:r>
        <w:t xml:space="preserve">the orbit into the shadow frame: the component of the orbit radius perpendicular to the Sun line, for an</w:t>
      </w:r>
      <w:r>
        <w:t xml:space="preserve"> </w:t>
      </w:r>
      <w:r>
        <w:t xml:space="preserve">orbit whose plane makes angle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that line, traces an ellipse of semi-axes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β</m:t>
        </m:r>
      </m:oMath>
      <w:r>
        <w:t xml:space="preserve">.</w:t>
      </w:r>
      <w:r>
        <w:t xml:space="preserve"> </w:t>
      </w:r>
      <w:r>
        <w:t xml:space="preserve">The satellite is eclipsed over the arc where this projected position falls within the cylinder, and the</w:t>
      </w:r>
      <w:r>
        <w:t xml:space="preserve"> </w:t>
      </w:r>
      <w:r>
        <w:t xml:space="preserve">half-angle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of that arc, measured from the anti-solar point,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r</m:t>
              </m:r>
              <m:r>
                <m:t> 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t>h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eclipse occupies the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of the orbit (the full eclipsed arc is</w:t>
      </w:r>
      <w:r>
        <w:t xml:space="preserve"> </w:t>
      </w:r>
      <m:oMath>
        <m:r>
          <m:t>2</m:t>
        </m:r>
        <m:r>
          <m:t>ψ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2</m:t>
        </m:r>
        <m:r>
          <m:t>π</m:t>
        </m:r>
      </m:oMath>
      <w:r>
        <w:t xml:space="preserve">), and the sunlit fraction is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E</m:t>
            </m:r>
          </m:sub>
        </m:sSub>
      </m:oMath>
      <w:r>
        <w:t xml:space="preserve">, which is (6.2). The expression is real</w:t>
      </w:r>
      <w:r>
        <w:t xml:space="preserve"> </w:t>
      </w:r>
      <w:r>
        <w:t xml:space="preserve">only while the bracket does not exceed one; the threshold where</w:t>
      </w:r>
      <w:r>
        <w:t xml:space="preserve"> </w:t>
      </w:r>
      <m:oMath>
        <m:r>
          <m:rPr>
            <m:sty m:val="p"/>
          </m:rPr>
          <m:t>cos</m:t>
        </m:r>
        <m:r>
          <m:t>ψ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 critical beta</w:t>
      </w:r>
      <w:r>
        <w:t xml:space="preserve"> </w:t>
      </w:r>
      <w:r>
        <w:t xml:space="preserve">of (6.1), at which the eclipse arc shrinks to zero.</w:t>
      </w:r>
    </w:p>
    <w:p>
      <w:pPr>
        <w:pStyle w:val="BodyText"/>
      </w:pPr>
      <w:r>
        <w:rPr>
          <w:b/>
          <w:bCs/>
        </w:rPr>
        <w:t xml:space="preserve">Annual variation of the beta angle.</w:t>
      </w:r>
      <w:r>
        <w:t xml:space="preserve"> </w:t>
      </w:r>
      <w:r>
        <w:t xml:space="preserve">The beta angle is not fixed: it depends on the angle between the</w:t>
      </w:r>
      <w:r>
        <w:t xml:space="preserve"> </w:t>
      </w:r>
      <w:r>
        <w:t xml:space="preserve">orbit plane and the instantaneous Sun direction. For an orbit of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node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with</w:t>
      </w:r>
      <w:r>
        <w:t xml:space="preserve"> </w:t>
      </w:r>
      <w:r>
        <w:t xml:space="preserve">solar ecliptic longitude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and obliquity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23.44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cos</m:t>
          </m:r>
          <m:r>
            <m:t>ε</m:t>
          </m:r>
          <m:r>
            <m:rPr>
              <m:sty m:val="p"/>
            </m:rPr>
            <m:t>cos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t>ε</m:t>
          </m:r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holds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 a fixed local time by construction, so the seasonal swing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is what moves</w:t>
      </w:r>
      <w:r>
        <w:t xml:space="preserve"> </w:t>
      </w:r>
      <m:oMath>
        <m:r>
          <m:t>β</m:t>
        </m:r>
      </m:oMath>
      <w:r>
        <w:t xml:space="preserve">. For the dawn-dusk case, where the node is set near the six o’clock</w:t>
      </w:r>
      <w:r>
        <w:t xml:space="preserve"> </w:t>
      </w:r>
      <w:r>
        <w:t xml:space="preserve">line so the orbit plane contains the terminator, (6.4) reduces to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oscillating between about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over the year, the lower bound being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ε</m:t>
        </m:r>
      </m:oMath>
      <w:r>
        <w:t xml:space="preserve">.</w:t>
      </w:r>
    </w:p>
    <w:p>
      <w:pPr>
        <w:pStyle w:val="BodyText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Because the dawn-dusk orbit keeps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above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all times, it stays above this</w:t>
      </w:r>
      <w:r>
        <w:t xml:space="preserve"> </w:t>
      </w:r>
      <m:oMath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threshold year round, so the satellite</w:t>
      </w:r>
      <w:r>
        <w:t xml:space="preserve"> </w:t>
      </w:r>
      <w:r>
        <w:t xml:space="preserve">never enters a deep eclipse 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 illumination exceeds ninety-five percent, the</w:t>
      </w:r>
      <w:r>
        <w:t xml:space="preserve"> </w:t>
      </w:r>
      <w:r>
        <w:t xml:space="preserve">battery need is minimal (Chapter 11), and the thermal environment is nearly steady, justifying the</w:t>
      </w:r>
      <w:r>
        <w:t xml:space="preserve"> </w:t>
      </w:r>
      <w:r>
        <w:t xml:space="preserve">quasi-steady thermal treatment of Chapter 10. This is the single most favorable environmental choice</w:t>
      </w:r>
      <w:r>
        <w:t xml:space="preserve"> </w:t>
      </w:r>
      <w:r>
        <w:t xml:space="preserve">available to the architecture, and it is robust to the seasonal beta swing rather than dependent on a</w:t>
      </w:r>
      <w:r>
        <w:t xml:space="preserve"> </w:t>
      </w:r>
      <w:r>
        <w:t xml:space="preserve">single favorable date.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4" name="Picture"/>
            <a:graphic>
              <a:graphicData uri="http://schemas.openxmlformats.org/drawingml/2006/picture">
                <pic:pic>
                  <pic:nvPicPr>
                    <pic:cNvPr descr="figures2/figA1_eclips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6"/>
    <w:bookmarkStart w:id="30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rPr>
          <w:i/>
          <w:iCs/>
        </w:rPr>
        <w:t xml:space="preserve">Sources: density from the NRLMSIS empirical model [11]; the drag and orbit-averaged decay treatment</w:t>
      </w:r>
      <w:r>
        <w:rPr>
          <w:i/>
          <w:iCs/>
        </w:rPr>
        <w:t xml:space="preserve"> </w:t>
      </w:r>
      <w:r>
        <w:rPr>
          <w:i/>
          <w:iCs/>
        </w:rPr>
        <w:t xml:space="preserve">follows Curtis [16] and the space-environment texts of Tribble [22] and Pisacane [23].</w:t>
      </w:r>
    </w:p>
    <w:p>
      <w:pPr>
        <w:pStyle w:val="BodyText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8" name="Picture"/>
            <a:graphic>
              <a:graphicData uri="http://schemas.openxmlformats.org/drawingml/2006/picture">
                <pic:pic>
                  <pic:nvPicPr>
                    <pic:cNvPr descr="figures/fig1_orbital_deca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0"/>
    <w:bookmarkStart w:id="34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rPr>
          <w:i/>
          <w:iCs/>
        </w:rPr>
        <w:t xml:space="preserve">Sources: trapped-particle fluxes from the AE8/AP8 [25] and AE9/AP9 [26] models; dose-depth via</w:t>
      </w:r>
      <w:r>
        <w:rPr>
          <w:i/>
          <w:iCs/>
        </w:rPr>
        <w:t xml:space="preserve"> </w:t>
      </w:r>
      <w:r>
        <w:rPr>
          <w:i/>
          <w:iCs/>
        </w:rPr>
        <w:t xml:space="preserve">SHIELDOSE [27]; environment and effects from Tribble [22], Pisacane [23], and Hastings and Garrett [24].</w:t>
      </w:r>
    </w:p>
    <w:p>
      <w:pPr>
        <w:pStyle w:val="BodyText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2" name="Picture"/>
            <a:graphic>
              <a:graphicData uri="http://schemas.openxmlformats.org/drawingml/2006/picture">
                <pic:pic>
                  <pic:nvPicPr>
                    <pic:cNvPr descr="figures2/figA5_do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4"/>
    <w:bookmarkStart w:id="35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rPr>
          <w:i/>
          <w:iCs/>
        </w:rPr>
        <w:t xml:space="preserve">Sources: flux from NASA ORDEM 3.2 [8] and ESA MASTER [9]; the collision-frequency and cascade</w:t>
      </w:r>
      <w:r>
        <w:rPr>
          <w:i/>
          <w:iCs/>
        </w:rPr>
        <w:t xml:space="preserve"> </w:t>
      </w:r>
      <w:r>
        <w:rPr>
          <w:i/>
          <w:iCs/>
        </w:rPr>
        <w:t xml:space="preserve">framework follows Kessler and Cour-Palais [28] and Klinkrad [29].</w:t>
      </w:r>
    </w:p>
    <w:p>
      <w:pPr>
        <w:pStyle w:val="BodyText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5" w:name="part-iii-spacecraft-subsystems"/>
    <w:p>
      <w:pPr>
        <w:pStyle w:val="Heading1"/>
      </w:pPr>
      <w:r>
        <w:t xml:space="preserve">PART III, SPACECRAFT SUBSYSTEMS</w:t>
      </w:r>
    </w:p>
    <w:bookmarkStart w:id="46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spacecraft-specific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from the Gilmore thermal-control handbook [20] and ECSS-E-ST-31C [34].</w:t>
      </w:r>
    </w:p>
    <w:p>
      <w:pPr>
        <w:pStyle w:val="BodyText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8" name="Picture"/>
            <a:graphic>
              <a:graphicData uri="http://schemas.openxmlformats.org/drawingml/2006/picture">
                <pic:pic>
                  <pic:nvPicPr>
                    <pic:cNvPr descr="figures2/figA3_radiato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1" name="Picture"/>
            <a:graphic>
              <a:graphicData uri="http://schemas.openxmlformats.org/drawingml/2006/picture">
                <pic:pic>
                  <pic:nvPicPr>
                    <pic:cNvPr descr="figures2/figA2_load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4" name="Picture"/>
            <a:graphic>
              <a:graphicData uri="http://schemas.openxmlformats.org/drawingml/2006/picture">
                <pic:pic>
                  <pic:nvPicPr>
                    <pic:cNvPr descr="figures/fig2_thermal_w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6"/>
    <w:bookmarkStart w:id="50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8" name="Picture"/>
            <a:graphic>
              <a:graphicData uri="http://schemas.openxmlformats.org/drawingml/2006/picture">
                <pic:pic>
                  <pic:nvPicPr>
                    <pic:cNvPr descr="systems_figs/fig_pow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0"/>
    <w:bookmarkStart w:id="54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2" name="Picture"/>
            <a:graphic>
              <a:graphicData uri="http://schemas.openxmlformats.org/drawingml/2006/picture">
                <pic:pic>
                  <pic:nvPicPr>
                    <pic:cNvPr descr="figures2/figA8_mas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4"/>
    <w:bookmarkStart w:id="55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5"/>
    <w:bookmarkStart w:id="62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rPr>
          <w:i/>
          <w:iCs/>
        </w:rPr>
        <w:t xml:space="preserve">Sources: the optical link budget follows Hemmati [30] and the free-space optical satellite-link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of Liang et al. [6].</w:t>
      </w:r>
    </w:p>
    <w:p>
      <w:pPr>
        <w:pStyle w:val="BodyText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7" name="Picture"/>
            <a:graphic>
              <a:graphicData uri="http://schemas.openxmlformats.org/drawingml/2006/picture">
                <pic:pic>
                  <pic:nvPicPr>
                    <pic:cNvPr descr="figures2/figA4_lin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60" name="Picture"/>
            <a:graphic>
              <a:graphicData uri="http://schemas.openxmlformats.org/drawingml/2006/picture">
                <pic:pic>
                  <pic:nvPicPr>
                    <pic:cNvPr descr="systems_figs/fig_comm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2"/>
    <w:bookmarkStart w:id="66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4" name="Picture"/>
            <a:graphic>
              <a:graphicData uri="http://schemas.openxmlformats.org/drawingml/2006/picture">
                <pic:pic>
                  <pic:nvPicPr>
                    <pic:cNvPr descr="figures/fig5_deltav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6"/>
    <w:bookmarkStart w:id="70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Let the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instantaneous failure rate of a</w:t>
      </w:r>
      <w:r>
        <w:t xml:space="preserve"> </w:t>
      </w:r>
      <w:r>
        <w:t xml:space="preserve">surviving unit. The survival probability obeys</w:t>
      </w:r>
      <w:r>
        <w:t xml:space="preserve"> </w:t>
      </w:r>
      <m:oMath>
        <m:r>
          <m:t>d</m:t>
        </m:r>
        <m:r>
          <m:t>R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R</m:t>
        </m:r>
      </m:oMath>
      <w:r>
        <w:t xml:space="preserve">, whose solution 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−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 In the flat region of the bathtub curve the hazard is</w:t>
      </w:r>
      <w:r>
        <w:t xml:space="preserve"> </w:t>
      </w:r>
      <w:r>
        <w:t xml:space="preserve">constant,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T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memoryless limit: a constant hazard is exactly the condition under which failures form a</w:t>
      </w:r>
      <w:r>
        <w:t xml:space="preserve"> </w:t>
      </w:r>
      <w:r>
        <w:t xml:space="preserve">Poisson process, and the mean of the resulting exponential lifetime distribution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 which</w:t>
      </w:r>
      <w:r>
        <w:t xml:space="preserve"> </w:t>
      </w:r>
      <w:r>
        <w:t xml:space="preserve">is why the mean time between failures appears directly in the exponent. A bus with a mean time between</w:t>
      </w:r>
      <w:r>
        <w:t xml:space="preserve"> </w:t>
      </w:r>
      <w:r>
        <w:t xml:space="preserve">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, so fewer than half survive</w:t>
      </w:r>
      <w:r>
        <w:t xml:space="preserve"> </w:t>
      </w:r>
      <w:r>
        <w:t xml:space="preserve">un-aided; a higher-grade bus at 150,000 hours reaches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 Either way a bare unit</w:t>
      </w:r>
      <w:r>
        <w:t xml:space="preserve"> </w:t>
      </w:r>
      <w:r>
        <w:t xml:space="preserve">is not enough, and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Consider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that fail independently, each surviving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 number that survive is binomial,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i</m:t>
                </m:r>
              </m:den>
            </m:f>
          </m:e>
        </m:d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</w:t>
      </w:r>
      <w:r>
        <w:t xml:space="preserve"> </w:t>
      </w:r>
      <w:r>
        <w:t xml:space="preserve">A system that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survive therefore has reliability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≥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expression sizes chip-level redundancy within a satellite and satellite-level</w:t>
      </w:r>
      <w:r>
        <w:t xml:space="preserve"> </w:t>
      </w:r>
      <w:r>
        <w:t xml:space="preserve">over-provisioning within a cluster. Its power is in the steep climb of the tail sum: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 </w:t>
      </w:r>
      <w:r>
        <w:t xml:space="preserve">nodes required to deliver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70</m:t>
        </m:r>
      </m:oMath>
      <w:r>
        <w:t xml:space="preserve">, a per-node reliability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0.89</m:t>
        </m:r>
      </m:oMath>
      <w:r>
        <w:t xml:space="preserve">, but raising the per-node figure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pushes it to</w:t>
      </w:r>
      <w:r>
        <w:t xml:space="preserve"> </w:t>
      </w:r>
      <m:oMath>
        <m:r>
          <m:t>0.999</m:t>
        </m:r>
      </m:oMath>
      <w:r>
        <w:t xml:space="preserve">. Small</w:t>
      </w:r>
      <w:r>
        <w:t xml:space="preserve"> </w:t>
      </w:r>
      <w:r>
        <w:t xml:space="preserve">gains in unit reliability buy large gains in system reliability once the redundancy margin is set.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 available,</w:t>
      </w:r>
      <w:r>
        <w:t xml:space="preserve"> </w:t>
      </w:r>
      <w:r>
        <w:t xml:space="preserve">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 For 81 deployed,</w:t>
      </w:r>
      <w:r>
        <w:t xml:space="preserve"> </w:t>
      </w:r>
      <w:r>
        <w:t xml:space="preserve">75 required,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, this is</w:t>
      </w:r>
      <w:r>
        <w:t xml:space="preserve"> </w:t>
      </w:r>
      <m:oMath>
        <m:r>
          <m:t>0.97</m:t>
        </m:r>
      </m:oMath>
      <w:r>
        <w:t xml:space="preserve">, so a six-unit margin holds capacity near full even before</w:t>
      </w:r>
      <w:r>
        <w:t xml:space="preserve"> </w:t>
      </w:r>
      <w:r>
        <w:t xml:space="preserve">any resupply. To sustain that level over the mission, units must be replaced as they fail. Modeling the</w:t>
      </w:r>
      <w:r>
        <w:t xml:space="preserve"> </w:t>
      </w:r>
      <w:r>
        <w:t xml:space="preserve">fleet as a renewal process, each unit that fails is replaced after a lead time, and in steady state the</w:t>
      </w:r>
      <w:r>
        <w:t xml:space="preserve"> </w:t>
      </w:r>
      <w:r>
        <w:t xml:space="preserve">replenishment rate equals the failure rate. For a design life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long-run annual replacement rate</w:t>
      </w:r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, about twenty percent per year for a five-year life, and holding a fixed</w:t>
      </w:r>
      <w:r>
        <w:t xml:space="preserve"> </w:t>
      </w:r>
      <w:r>
        <w:t xml:space="preserve">availability target against a given per-unit reliability sets the deployed count: reaching ninety-five</w:t>
      </w:r>
      <w:r>
        <w:t xml:space="preserve"> </w:t>
      </w:r>
      <w:r>
        <w:t xml:space="preserve">percent availability of 75 required nodes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calls for on the order of 89 deployed. The</w:t>
      </w:r>
      <w:r>
        <w:t xml:space="preserve"> </w:t>
      </w:r>
      <w:r>
        <w:t xml:space="preserve">associated replenishment is a major and recurring operating expense, carried explicitly in the</w:t>
      </w:r>
      <w:r>
        <w:t xml:space="preserve"> </w:t>
      </w:r>
      <w:r>
        <w:t xml:space="preserve">economics of Chapter 21. These figures are produced by</w:t>
      </w:r>
      <w:r>
        <w:t xml:space="preserve"> </w:t>
      </w:r>
      <w:r>
        <w:rPr>
          <w:rStyle w:val="VerbatimChar"/>
        </w:rPr>
        <w:t xml:space="preserve">orbital_dc.reliability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k_of_n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expected_capacity_fraction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spares_for_availability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annual_replacement_rate</w:t>
      </w:r>
      <w:r>
        <w:t xml:space="preserve">).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8" name="Picture"/>
            <a:graphic>
              <a:graphicData uri="http://schemas.openxmlformats.org/drawingml/2006/picture">
                <pic:pic>
                  <pic:nvPicPr>
                    <pic:cNvPr descr="systems_figs/fig_reliabilit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0"/>
    <w:bookmarkStart w:id="74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2" name="Picture"/>
            <a:graphic>
              <a:graphicData uri="http://schemas.openxmlformats.org/drawingml/2006/picture">
                <pic:pic>
                  <pic:nvPicPr>
                    <pic:cNvPr descr="systems_figs/fig_new_subsystem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2" w:name="Xe5ea88703363ae012ea2f87a0aad981517e6b12"/>
    <w:p>
      <w:pPr>
        <w:pStyle w:val="Heading1"/>
      </w:pPr>
      <w:r>
        <w:t xml:space="preserve">PART IV, INTEGRATION, SIMULATION, AND RESULTS</w:t>
      </w:r>
    </w:p>
    <w:bookmarkStart w:id="79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7" name="Picture"/>
            <a:graphic>
              <a:graphicData uri="http://schemas.openxmlformats.org/drawingml/2006/picture">
                <pic:pic>
                  <pic:nvPicPr>
                    <pic:cNvPr descr="systems_figs/fig_mass_budge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79"/>
    <w:bookmarkStart w:id="80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0"/>
    <w:bookmarkStart w:id="84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t xml:space="preserve">A point design is not credible without an uncertainty band. Two complementary tools are used: linear</w:t>
      </w:r>
      <w:r>
        <w:t xml:space="preserve"> </w:t>
      </w:r>
      <w:r>
        <w:t xml:space="preserve">error propagation for a quick analytic estimate, and Monte-Carlo for the full distribution when the</w:t>
      </w:r>
      <w:r>
        <w:t xml:space="preserve"> </w:t>
      </w:r>
      <w:r>
        <w:t xml:space="preserve">inputs span orders of magnitude.</w:t>
      </w:r>
    </w:p>
    <w:p>
      <w:pPr>
        <w:pStyle w:val="BodyText"/>
      </w:pPr>
      <w:r>
        <w:rPr>
          <w:b/>
          <w:bCs/>
        </w:rPr>
        <w:t xml:space="preserve">Linear error propagation.</w:t>
      </w:r>
      <w:r>
        <w:t xml:space="preserve"> </w:t>
      </w:r>
      <w:r>
        <w:t xml:space="preserve">For an output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independent inputs of standard</w:t>
      </w:r>
      <w:r>
        <w:t xml:space="preserve"> </w:t>
      </w:r>
      <w:r>
        <w:t xml:space="preserve">deviation</w:t>
      </w:r>
      <w: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, a first-order Taylor expansion about the mean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sSubSup>
            <m:e>
              <m:r>
                <m:t>σ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exact for linear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good guide when the inputs vary by a few percent. It fails precisely</w:t>
      </w:r>
      <w:r>
        <w:t xml:space="preserve"> </w:t>
      </w:r>
      <w:r>
        <w:t xml:space="preserve">where the dominant uncertainty here lives, in atmospheric density, which is lognormal and varies by up</w:t>
      </w:r>
      <w:r>
        <w:t xml:space="preserve"> </w:t>
      </w:r>
      <w:r>
        <w:t xml:space="preserve">to two orders of magnitude across the solar cycle, so the partial-derivative picture is supplemented by</w:t>
      </w:r>
      <w:r>
        <w:t xml:space="preserve"> </w:t>
      </w:r>
      <w:r>
        <w:t xml:space="preserve">sampling.</w:t>
      </w:r>
    </w:p>
    <w:p>
      <w:pPr>
        <w:pStyle w:val="BodyText"/>
      </w:pPr>
      <w:r>
        <w:rPr>
          <w:b/>
          <w:bCs/>
        </w:rPr>
        <w:t xml:space="preserve">Monte-Carlo propagation.</w:t>
      </w:r>
      <w:r>
        <w:t xml:space="preserve"> </w:t>
      </w:r>
      <w:r>
        <w:t xml:space="preserve">The model draws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 of the uncertain inputs from their assumed</w:t>
      </w:r>
      <w:r>
        <w:t xml:space="preserve"> </w:t>
      </w:r>
      <w:r>
        <w:t xml:space="preserve">distributions, evaluates the full model for each, and forms the empirical distribution of every output.</w:t>
      </w:r>
      <w:r>
        <w:t xml:space="preserve"> </w:t>
      </w:r>
      <w:r>
        <w:t xml:space="preserve">The dominant inputs sampled are the solar-activity scenario (which moves atmospheric density by up to a</w:t>
      </w:r>
      <w:r>
        <w:t xml:space="preserve"> </w:t>
      </w:r>
      <w:r>
        <w:t xml:space="preserve">factor of one hundred), the debris-flux band, the model-FLOPs utilization, and the undisclosed chip</w:t>
      </w:r>
      <w:r>
        <w:t xml:space="preserve"> </w:t>
      </w:r>
      <w:r>
        <w:t xml:space="preserve">power. The estimator converges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a few thousand samples fix the central percentiles to</w:t>
      </w:r>
      <w:r>
        <w:t xml:space="preserve"> </w:t>
      </w:r>
      <w:r>
        <w:t xml:space="preserve">better than the input uncertainty warrants. The resulting distributions of natural lifetime,</w:t>
      </w:r>
      <w:r>
        <w:t xml:space="preserve"> </w:t>
      </w:r>
      <w:r>
        <w:t xml:space="preserve">catastrophic-impact probability, total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and delivered compute are reported as fifth,</w:t>
      </w:r>
      <w:r>
        <w:t xml:space="preserve"> </w:t>
      </w:r>
      <w:r>
        <w:t xml:space="preserve">fiftieth, and ninety-fifth percentiles rather than as single numbers (Fig. 19.1), produced by</w:t>
      </w:r>
      <w:r>
        <w:t xml:space="preserve"> </w:t>
      </w:r>
      <w:r>
        <w:rPr>
          <w:rStyle w:val="VerbatimChar"/>
        </w:rPr>
        <w:t xml:space="preserve">orbital_dc.montecarlo.monte_carlo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Sensitivity ranking.</w:t>
      </w:r>
      <w:r>
        <w:t xml:space="preserve"> </w:t>
      </w:r>
      <w:r>
        <w:t xml:space="preserve">To attribute output variance to inputs, the model uses a one-at-a-time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montecarlo.one_at_a_time</w:t>
      </w:r>
      <w:r>
        <w:t xml:space="preserve">) that holds all but one input at its central value and records the output</w:t>
      </w:r>
      <w:r>
        <w:t xml:space="preserve"> </w:t>
      </w:r>
      <w:r>
        <w:t xml:space="preserve">swing. The ratio of that swing to the baseline is a transparent local sensitivity index; where inputs</w:t>
      </w:r>
      <w:r>
        <w:t xml:space="preserve"> </w:t>
      </w:r>
      <w:r>
        <w:t xml:space="preserve">interact, the full Monte-Carlo variance is the honest measure. 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2" name="Picture"/>
            <a:graphic>
              <a:graphicData uri="http://schemas.openxmlformats.org/drawingml/2006/picture">
                <pic:pic>
                  <pic:nvPicPr>
                    <pic:cNvPr descr="systems_figs/fig_montecarl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4"/>
    <w:bookmarkStart w:id="91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6" name="Picture"/>
            <a:graphic>
              <a:graphicData uri="http://schemas.openxmlformats.org/drawingml/2006/picture">
                <pic:pic>
                  <pic:nvPicPr>
                    <pic:cNvPr descr="figures/fig3_debris_ris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89" name="Picture"/>
            <a:graphic>
              <a:graphicData uri="http://schemas.openxmlformats.org/drawingml/2006/picture">
                <pic:pic>
                  <pic:nvPicPr>
                    <pic:cNvPr descr="figures/fig4_radi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5" w:name="part-v-economics-and-predictions"/>
    <w:p>
      <w:pPr>
        <w:pStyle w:val="Heading1"/>
      </w:pPr>
      <w:r>
        <w:t xml:space="preserve">PART V, ECONOMICS AND PREDICTIONS</w:t>
      </w:r>
    </w:p>
    <w:bookmarkStart w:id="99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4" name="Picture"/>
            <a:graphic>
              <a:graphicData uri="http://schemas.openxmlformats.org/drawingml/2006/picture">
                <pic:pic>
                  <pic:nvPicPr>
                    <pic:cNvPr descr="figures2/figA7_lco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7" name="Picture"/>
            <a:graphic>
              <a:graphicData uri="http://schemas.openxmlformats.org/drawingml/2006/picture">
                <pic:pic>
                  <pic:nvPicPr>
                    <pic:cNvPr descr="systems_figs/fig_comput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99"/>
    <w:bookmarkStart w:id="103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first result is the more important one and is easy to miss in a single</w:t>
      </w:r>
      <w:r>
        <w:t xml:space="preserve"> </w:t>
      </w:r>
      <w:r>
        <w:t xml:space="preserve">headline date: across the sampled assumptions, only about five percent of scenarios reach 200 dollars</w:t>
      </w:r>
      <w:r>
        <w:t xml:space="preserve"> </w:t>
      </w:r>
      <w:r>
        <w:t xml:space="preserve">per kilogram at all within the 2050 horizon, and roughly ninety-five percent never reach it. Parity at</w:t>
      </w:r>
      <w:r>
        <w:t xml:space="preserve"> </w:t>
      </w:r>
      <w:r>
        <w:t xml:space="preserve">that price is therefore not a near-certainty awaiting a date; under most defensible assumptions it does</w:t>
      </w:r>
      <w:r>
        <w:t xml:space="preserve"> </w:t>
      </w:r>
      <w:r>
        <w:t xml:space="preserve">not arrive within the horizon. Conditional on the minority of scenarios that do reach it, the median</w:t>
      </w:r>
      <w:r>
        <w:t xml:space="preserve"> </w:t>
      </w:r>
      <w:r>
        <w:t xml:space="preserve">parity year is near 2044 (Fig. 22.1), with a fifth percentile of about 2037 and essentially no</w:t>
      </w:r>
      <w:r>
        <w:t xml:space="preserve"> </w:t>
      </w:r>
      <w:r>
        <w:t xml:space="preserve">probability of reaching parity by 2035. Extending the horizon to 2060 raises the reaching fraction only</w:t>
      </w:r>
      <w:r>
        <w:t xml:space="preserve"> </w:t>
      </w:r>
      <w:r>
        <w:t xml:space="preserve">to about nine percent and moves the conditional median to the end of the 2040s, so the conclusion is not</w:t>
      </w:r>
      <w:r>
        <w:t xml:space="preserve"> </w:t>
      </w:r>
      <w:r>
        <w:t xml:space="preserve">an artifact of where the horizon is drawn. The vendor’s 2035 date sits beyond the optimistic edge of the</w:t>
      </w:r>
      <w:r>
        <w:t xml:space="preserve"> </w:t>
      </w:r>
      <w:r>
        <w:t xml:space="preserve">distribution and requires its specific aggressive anchors, full reusability at 200 tonnes and roughly</w:t>
      </w:r>
      <w:r>
        <w:t xml:space="preserve"> </w:t>
      </w:r>
      <w:r>
        <w:t xml:space="preserve">two million dollars marginal cost, sustained twenty-percent learning from a low starting price, and a</w:t>
      </w:r>
      <w:r>
        <w:t xml:space="preserve"> </w:t>
      </w:r>
      <w:r>
        <w:t xml:space="preserve">total launched mass far larger than the cadence ranges sampled here deliver.</w:t>
      </w:r>
    </w:p>
    <w:p>
      <w:pPr>
        <w:pStyle w:val="BodyText"/>
      </w:pPr>
      <w:r>
        <w:t xml:space="preserve">The prediction is therefore twofold: launch-cost parity at 200 dollars per kilogram is unlikely under</w:t>
      </w:r>
      <w:r>
        <w:t xml:space="preserve"> </w:t>
      </w:r>
      <w:r>
        <w:t xml:space="preserve">most assumptions rather than merely late, and where it does arrive it is more likely in the late 2030s</w:t>
      </w:r>
      <w:r>
        <w:t xml:space="preserve"> </w:t>
      </w:r>
      <w:r>
        <w:t xml:space="preserve">to mid-2040s than in 2035. Parity is in any case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, Launch-cost learning curve (Monte-Carlo) and the distribution of the cost-parity year. Most sampled scenarios never reach 200 dollars per kilogram within the horizon; conditional on those that do, the median is near 2044, later than the vendor’s 2035." title="" id="101" name="Picture"/>
            <a:graphic>
              <a:graphicData uri="http://schemas.openxmlformats.org/drawingml/2006/picture">
                <pic:pic>
                  <pic:nvPicPr>
                    <pic:cNvPr descr="figures_pred/fig_cost_par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22.1, Launch-cost learning curve (Monte-Carlo) and the distribution of the cost-parity year. Most sampled scenarios never reach 200 dollars per kilogram within the horizon; conditional on those that do, the median is near 2044, later than the vendor’s 2035.</w:t>
      </w:r>
    </w:p>
    <w:bookmarkEnd w:id="103"/>
    <w:bookmarkStart w:id="104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part-vi-synthesis"/>
    <w:p>
      <w:pPr>
        <w:pStyle w:val="Heading1"/>
      </w:pPr>
      <w:r>
        <w:t xml:space="preserve">PART VI, SYNTHESIS</w:t>
      </w:r>
    </w:p>
    <w:bookmarkStart w:id="106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06"/>
    <w:bookmarkStart w:id="110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08" name="Picture"/>
            <a:graphic>
              <a:graphicData uri="http://schemas.openxmlformats.org/drawingml/2006/picture">
                <pic:pic>
                  <pic:nvPicPr>
                    <pic:cNvPr descr="figures/fig7_risk_matrix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2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2"/>
    <w:bookmarkStart w:id="113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3"/>
    <w:bookmarkStart w:id="114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4"/>
    <w:bookmarkStart w:id="115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31" w:name="back-matter"/>
    <w:p>
      <w:pPr>
        <w:pStyle w:val="Heading1"/>
      </w:pPr>
      <w:r>
        <w:t xml:space="preserve">Back matter</w:t>
      </w:r>
    </w:p>
    <w:bookmarkStart w:id="1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p>
      <w:pPr>
        <w:pStyle w:val="Compact"/>
        <w:numPr>
          <w:ilvl w:val="0"/>
          <w:numId w:val="1001"/>
        </w:numPr>
      </w:pPr>
      <w:r>
        <w:t xml:space="preserve">Curtis, H. D.</w:t>
      </w:r>
      <w:r>
        <w:t xml:space="preserve"> </w:t>
      </w:r>
      <w:r>
        <w:rPr>
          <w:i/>
          <w:iCs/>
        </w:rPr>
        <w:t xml:space="preserve">Orbital Mechanics for Engineering Students</w:t>
      </w:r>
      <w:r>
        <w:t xml:space="preserve">, 4th ed. Butterworth-Heinemann, 2020.</w:t>
      </w:r>
    </w:p>
    <w:p>
      <w:pPr>
        <w:pStyle w:val="Compact"/>
        <w:numPr>
          <w:ilvl w:val="0"/>
          <w:numId w:val="1001"/>
        </w:numPr>
      </w:pPr>
      <w:r>
        <w:t xml:space="preserve">Vallado, D. A.</w:t>
      </w:r>
      <w:r>
        <w:t xml:space="preserve"> </w:t>
      </w:r>
      <w:r>
        <w:rPr>
          <w:i/>
          <w:iCs/>
        </w:rPr>
        <w:t xml:space="preserve">Fundamentals of Astrodynamics and Applications</w:t>
      </w:r>
      <w:r>
        <w:t xml:space="preserve">, 4th ed. Microcosm Press, 2013.</w:t>
      </w:r>
    </w:p>
    <w:p>
      <w:pPr>
        <w:pStyle w:val="Compact"/>
        <w:numPr>
          <w:ilvl w:val="0"/>
          <w:numId w:val="1001"/>
        </w:numPr>
      </w:pPr>
      <w:r>
        <w:t xml:space="preserve">Wertz, J. R., Everett, D. F., Puschell, J. J. (eds.).</w:t>
      </w:r>
      <w:r>
        <w:t xml:space="preserve"> </w:t>
      </w:r>
      <w:r>
        <w:rPr>
          <w:i/>
          <w:iCs/>
        </w:rPr>
        <w:t xml:space="preserve">Space Mission Engineering: The New SMAD.</w:t>
      </w:r>
      <w:r>
        <w:t xml:space="preserve"> </w:t>
      </w:r>
      <w:r>
        <w:t xml:space="preserve">Microcosm Press, 2011.</w:t>
      </w:r>
    </w:p>
    <w:p>
      <w:pPr>
        <w:pStyle w:val="Compact"/>
        <w:numPr>
          <w:ilvl w:val="0"/>
          <w:numId w:val="1001"/>
        </w:numPr>
      </w:pPr>
      <w:r>
        <w:t xml:space="preserve">Larson, W. J., Wertz, J. R. (eds.).</w:t>
      </w:r>
      <w:r>
        <w:t xml:space="preserve"> </w:t>
      </w:r>
      <w:r>
        <w:rPr>
          <w:i/>
          <w:iCs/>
        </w:rPr>
        <w:t xml:space="preserve">Space Mission Analysis and Design</w:t>
      </w:r>
      <w:r>
        <w:t xml:space="preserve">, 3rd ed. Microcosm/Kluwer, 1999.</w:t>
      </w:r>
    </w:p>
    <w:p>
      <w:pPr>
        <w:pStyle w:val="Compact"/>
        <w:numPr>
          <w:ilvl w:val="0"/>
          <w:numId w:val="1001"/>
        </w:numPr>
      </w:pPr>
      <w:r>
        <w:t xml:space="preserve">Gilmore, D. G. (ed.).</w:t>
      </w:r>
      <w:r>
        <w:t xml:space="preserve"> </w:t>
      </w:r>
      <w:r>
        <w:rPr>
          <w:i/>
          <w:iCs/>
        </w:rPr>
        <w:t xml:space="preserve">Spacecraft Thermal Control Handbook, Volume I: Fundamental Technologies</w:t>
      </w:r>
      <w:r>
        <w:t xml:space="preserve">,</w:t>
      </w:r>
      <w:r>
        <w:t xml:space="preserve"> </w:t>
      </w:r>
      <w:r>
        <w:t xml:space="preserve">2nd ed. The Aerospace Press, 2002.</w:t>
      </w:r>
    </w:p>
    <w:p>
      <w:pPr>
        <w:pStyle w:val="Compact"/>
        <w:numPr>
          <w:ilvl w:val="0"/>
          <w:numId w:val="1001"/>
        </w:numPr>
      </w:pPr>
      <w:r>
        <w:t xml:space="preserve">Incropera, F. P., DeWitt, D. P., Bergman, T. L., Lavine, A. S.</w:t>
      </w:r>
      <w:r>
        <w:t xml:space="preserve"> </w:t>
      </w:r>
      <w:r>
        <w:rPr>
          <w:i/>
          <w:iCs/>
        </w:rPr>
        <w:t xml:space="preserve">Fundamentals of Heat and Mass</w:t>
      </w:r>
      <w:r>
        <w:rPr>
          <w:i/>
          <w:iCs/>
        </w:rPr>
        <w:t xml:space="preserve"> </w:t>
      </w:r>
      <w:r>
        <w:rPr>
          <w:i/>
          <w:iCs/>
        </w:rPr>
        <w:t xml:space="preserve">Transfer</w:t>
      </w:r>
      <w:r>
        <w:t xml:space="preserve">, 7th ed. Wiley, 2011.</w:t>
      </w:r>
    </w:p>
    <w:p>
      <w:pPr>
        <w:pStyle w:val="Compact"/>
        <w:numPr>
          <w:ilvl w:val="0"/>
          <w:numId w:val="1001"/>
        </w:numPr>
      </w:pPr>
      <w:r>
        <w:t xml:space="preserve">Tribble, A. C.</w:t>
      </w:r>
      <w:r>
        <w:t xml:space="preserve"> </w:t>
      </w:r>
      <w:r>
        <w:rPr>
          <w:i/>
          <w:iCs/>
        </w:rPr>
        <w:t xml:space="preserve">The Space Environment: Implications for Spacecraft Design</w:t>
      </w:r>
      <w:r>
        <w:t xml:space="preserve">, rev. ed. Princeton</w:t>
      </w:r>
      <w:r>
        <w:t xml:space="preserve"> </w:t>
      </w:r>
      <w:r>
        <w:t xml:space="preserve">University Press, 2003.</w:t>
      </w:r>
    </w:p>
    <w:p>
      <w:pPr>
        <w:pStyle w:val="Compact"/>
        <w:numPr>
          <w:ilvl w:val="0"/>
          <w:numId w:val="1001"/>
        </w:numPr>
      </w:pPr>
      <w:r>
        <w:t xml:space="preserve">Pisacane, V. L. (ed.).</w:t>
      </w:r>
      <w:r>
        <w:t xml:space="preserve"> </w:t>
      </w:r>
      <w:r>
        <w:rPr>
          <w:i/>
          <w:iCs/>
        </w:rPr>
        <w:t xml:space="preserve">The Space Environment and Its Effects on Space Systems</w:t>
      </w:r>
      <w:r>
        <w:t xml:space="preserve">, 2nd ed. AIAA</w:t>
      </w:r>
      <w:r>
        <w:t xml:space="preserve"> </w:t>
      </w:r>
      <w:r>
        <w:t xml:space="preserve">Education Series, 2016.</w:t>
      </w:r>
    </w:p>
    <w:p>
      <w:pPr>
        <w:pStyle w:val="Compact"/>
        <w:numPr>
          <w:ilvl w:val="0"/>
          <w:numId w:val="1001"/>
        </w:numPr>
      </w:pPr>
      <w:r>
        <w:t xml:space="preserve">Hastings, D., Garrett, H.</w:t>
      </w:r>
      <w:r>
        <w:t xml:space="preserve"> </w:t>
      </w:r>
      <w:r>
        <w:rPr>
          <w:i/>
          <w:iCs/>
        </w:rPr>
        <w:t xml:space="preserve">Spacecraft-Environment Interactions.</w:t>
      </w:r>
      <w:r>
        <w:t xml:space="preserve"> </w:t>
      </w:r>
      <w:r>
        <w:t xml:space="preserve">Cambridge University Press, 1996.</w:t>
      </w:r>
    </w:p>
    <w:p>
      <w:pPr>
        <w:pStyle w:val="Compact"/>
        <w:numPr>
          <w:ilvl w:val="0"/>
          <w:numId w:val="1001"/>
        </w:numPr>
      </w:pPr>
      <w:r>
        <w:t xml:space="preserve">Vette, J. I.</w:t>
      </w:r>
      <w:r>
        <w:t xml:space="preserve"> </w:t>
      </w:r>
      <w:r>
        <w:rPr>
          <w:i/>
          <w:iCs/>
        </w:rPr>
        <w:t xml:space="preserve">The AE-8 Trapped Electron Model Environment</w:t>
      </w:r>
      <w:r>
        <w:t xml:space="preserve"> </w:t>
      </w:r>
      <w:r>
        <w:t xml:space="preserve">(NSSDC/WDC-A-R&amp;S 91-24); Sawyer, D. M.,</w:t>
      </w:r>
      <w:r>
        <w:t xml:space="preserve"> </w:t>
      </w:r>
      <w:r>
        <w:t xml:space="preserve">Vette, J. I.</w:t>
      </w:r>
      <w:r>
        <w:t xml:space="preserve"> </w:t>
      </w:r>
      <w:r>
        <w:rPr>
          <w:i/>
          <w:iCs/>
        </w:rPr>
        <w:t xml:space="preserve">AP-8 Trapped Proton Environment</w:t>
      </w:r>
      <w:r>
        <w:t xml:space="preserve"> </w:t>
      </w:r>
      <w:r>
        <w:t xml:space="preserve">(NSSDC/WDC-A-R&amp;S 76-06). NASA GSFC.</w:t>
      </w:r>
    </w:p>
    <w:p>
      <w:pPr>
        <w:pStyle w:val="Compact"/>
        <w:numPr>
          <w:ilvl w:val="0"/>
          <w:numId w:val="1001"/>
        </w:numPr>
      </w:pPr>
      <w:r>
        <w:t xml:space="preserve">Ginet, G. P. et al. </w:t>
      </w:r>
      <w:r>
        <w:rPr>
          <w:i/>
          <w:iCs/>
        </w:rPr>
        <w:t xml:space="preserve">AE9, AP9 and SPM: New Models for Specifying the Trapped Energetic Particle</w:t>
      </w:r>
      <w:r>
        <w:rPr>
          <w:i/>
          <w:iCs/>
        </w:rPr>
        <w:t xml:space="preserve"> </w:t>
      </w:r>
      <w:r>
        <w:rPr>
          <w:i/>
          <w:iCs/>
        </w:rPr>
        <w:t xml:space="preserve">and Space Plasma Environment.</w:t>
      </w:r>
      <w:r>
        <w:t xml:space="preserve"> </w:t>
      </w:r>
      <w:r>
        <w:t xml:space="preserve">Space Science Reviews 179, 2013.</w:t>
      </w:r>
    </w:p>
    <w:p>
      <w:pPr>
        <w:pStyle w:val="Compact"/>
        <w:numPr>
          <w:ilvl w:val="0"/>
          <w:numId w:val="1001"/>
        </w:numPr>
      </w:pPr>
      <w:r>
        <w:t xml:space="preserve">Seltzer, S. M.</w:t>
      </w:r>
      <w:r>
        <w:t xml:space="preserve"> </w:t>
      </w:r>
      <w:r>
        <w:rPr>
          <w:i/>
          <w:iCs/>
        </w:rPr>
        <w:t xml:space="preserve">SHIELDOSE: A Computer Code for Space-Shielding Radiation Dose Calculations.</w:t>
      </w:r>
      <w:r>
        <w:t xml:space="preserve"> </w:t>
      </w:r>
      <w:r>
        <w:t xml:space="preserve">NBS Technical Note 1116, 1980.</w:t>
      </w:r>
    </w:p>
    <w:p>
      <w:pPr>
        <w:pStyle w:val="Compact"/>
        <w:numPr>
          <w:ilvl w:val="0"/>
          <w:numId w:val="1001"/>
        </w:numPr>
      </w:pPr>
      <w:r>
        <w:t xml:space="preserve">Kessler, D. J., Cour-Palais, B. G.</w:t>
      </w:r>
      <w:r>
        <w:t xml:space="preserve"> </w:t>
      </w:r>
      <w:r>
        <w:rPr>
          <w:i/>
          <w:iCs/>
        </w:rPr>
        <w:t xml:space="preserve">Collision Frequency of Artificial Satellites: The Creation</w:t>
      </w:r>
      <w:r>
        <w:rPr>
          <w:i/>
          <w:iCs/>
        </w:rPr>
        <w:t xml:space="preserve"> </w:t>
      </w:r>
      <w:r>
        <w:rPr>
          <w:i/>
          <w:iCs/>
        </w:rPr>
        <w:t xml:space="preserve">of a Debris Belt.</w:t>
      </w:r>
      <w:r>
        <w:t xml:space="preserve"> </w:t>
      </w:r>
      <w:r>
        <w:t xml:space="preserve">Journal of Geophysical Research 83(A6), 1978.</w:t>
      </w:r>
    </w:p>
    <w:p>
      <w:pPr>
        <w:pStyle w:val="Compact"/>
        <w:numPr>
          <w:ilvl w:val="0"/>
          <w:numId w:val="1001"/>
        </w:numPr>
      </w:pPr>
      <w:r>
        <w:t xml:space="preserve">Klinkrad, H.</w:t>
      </w:r>
      <w:r>
        <w:t xml:space="preserve"> </w:t>
      </w:r>
      <w:r>
        <w:rPr>
          <w:i/>
          <w:iCs/>
        </w:rPr>
        <w:t xml:space="preserve">Space Debris: Models and Risk Analysis.</w:t>
      </w:r>
      <w:r>
        <w:t xml:space="preserve"> </w:t>
      </w:r>
      <w:r>
        <w:t xml:space="preserve">Springer-Praxis, 2006.</w:t>
      </w:r>
    </w:p>
    <w:p>
      <w:pPr>
        <w:pStyle w:val="Compact"/>
        <w:numPr>
          <w:ilvl w:val="0"/>
          <w:numId w:val="1001"/>
        </w:numPr>
      </w:pPr>
      <w:r>
        <w:t xml:space="preserve">Hemmati, H. (ed.).</w:t>
      </w:r>
      <w:r>
        <w:t xml:space="preserve"> </w:t>
      </w:r>
      <w:r>
        <w:rPr>
          <w:i/>
          <w:iCs/>
        </w:rPr>
        <w:t xml:space="preserve">Deep Space Optical Communications.</w:t>
      </w:r>
      <w:r>
        <w:t xml:space="preserve"> </w:t>
      </w:r>
      <w:r>
        <w:t xml:space="preserve">JPL Deep-Space Communications and</w:t>
      </w:r>
      <w:r>
        <w:t xml:space="preserve"> </w:t>
      </w:r>
      <w:r>
        <w:t xml:space="preserve">Navigation Series, Wiley, 2006.</w:t>
      </w:r>
    </w:p>
    <w:p>
      <w:pPr>
        <w:pStyle w:val="Compact"/>
        <w:numPr>
          <w:ilvl w:val="0"/>
          <w:numId w:val="1001"/>
        </w:numPr>
      </w:pPr>
      <w:r>
        <w:t xml:space="preserve">Sutton, G. P., Biblarz, O.</w:t>
      </w:r>
      <w:r>
        <w:t xml:space="preserve"> </w:t>
      </w:r>
      <w:r>
        <w:rPr>
          <w:i/>
          <w:iCs/>
        </w:rPr>
        <w:t xml:space="preserve">Rocket Propulsion Elements</w:t>
      </w:r>
      <w:r>
        <w:t xml:space="preserve">, 9th ed. Wiley, 2017.</w:t>
      </w:r>
    </w:p>
    <w:p>
      <w:pPr>
        <w:pStyle w:val="Compact"/>
        <w:numPr>
          <w:ilvl w:val="0"/>
          <w:numId w:val="1001"/>
        </w:numPr>
      </w:pPr>
      <w:r>
        <w:t xml:space="preserve">Wertz, J. R. (ed.).</w:t>
      </w:r>
      <w:r>
        <w:t xml:space="preserve"> </w:t>
      </w:r>
      <w:r>
        <w:rPr>
          <w:i/>
          <w:iCs/>
        </w:rPr>
        <w:t xml:space="preserve">Spacecraft Attitude Determination and Control.</w:t>
      </w:r>
      <w:r>
        <w:t xml:space="preserve"> </w:t>
      </w:r>
      <w:r>
        <w:t xml:space="preserve">D. Reidel, 1978.</w:t>
      </w:r>
    </w:p>
    <w:p>
      <w:pPr>
        <w:pStyle w:val="Compact"/>
        <w:numPr>
          <w:ilvl w:val="0"/>
          <w:numId w:val="1001"/>
        </w:numPr>
      </w:pPr>
      <w:r>
        <w:t xml:space="preserve">Sidi, M. J.</w:t>
      </w:r>
      <w:r>
        <w:t xml:space="preserve"> </w:t>
      </w:r>
      <w:r>
        <w:rPr>
          <w:i/>
          <w:iCs/>
        </w:rPr>
        <w:t xml:space="preserve">Spacecraft Dynamics and Control: A Practical Engineering Approach.</w:t>
      </w:r>
      <w:r>
        <w:t xml:space="preserve"> </w:t>
      </w:r>
      <w:r>
        <w:t xml:space="preserve">Cambridge</w:t>
      </w:r>
      <w:r>
        <w:t xml:space="preserve"> </w:t>
      </w:r>
      <w:r>
        <w:t xml:space="preserve">University Press, 1997.</w:t>
      </w:r>
    </w:p>
    <w:p>
      <w:pPr>
        <w:pStyle w:val="Compact"/>
        <w:numPr>
          <w:ilvl w:val="0"/>
          <w:numId w:val="1001"/>
        </w:numPr>
      </w:pPr>
      <w:r>
        <w:t xml:space="preserve">ECSS.</w:t>
      </w:r>
      <w:r>
        <w:t xml:space="preserve"> </w:t>
      </w:r>
      <w:r>
        <w:rPr>
          <w:i/>
          <w:iCs/>
        </w:rPr>
        <w:t xml:space="preserve">Space Engineering: Thermal Control General Requirements</w:t>
      </w:r>
      <w:r>
        <w:t xml:space="preserve"> </w:t>
      </w:r>
      <w:r>
        <w:t xml:space="preserve">(ECSS-E-ST-31C) and</w:t>
      </w:r>
      <w: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</w:t>
      </w:r>
      <w:r>
        <w:t xml:space="preserve"> </w:t>
      </w:r>
      <w:r>
        <w:t xml:space="preserve">(ECSS-E-ST-10-04C). European Cooperation for Space Standardization.</w:t>
      </w:r>
    </w:p>
    <w:p>
      <w:pPr>
        <w:pStyle w:val="Compact"/>
        <w:numPr>
          <w:ilvl w:val="0"/>
          <w:numId w:val="1001"/>
        </w:numPr>
      </w:pPr>
      <w:r>
        <w:t xml:space="preserve">O’Hanlon, M. et al.; SpaceX published launch-manifest and reusability data; FAA commercial-space</w:t>
      </w:r>
      <w:r>
        <w:t xml:space="preserve"> </w:t>
      </w:r>
      <w:r>
        <w:t xml:space="preserve">launch records, for the launch-cadence and cost-trajectory inputs of Chapter 22.</w:t>
      </w:r>
    </w:p>
    <w:bookmarkEnd w:id="117"/>
    <w:bookmarkStart w:id="118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18"/>
    <w:bookmarkStart w:id="119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19"/>
    <w:bookmarkStart w:id="120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0"/>
    <w:bookmarkStart w:id="121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1"/>
    <w:bookmarkStart w:id="130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2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2"/>
    <w:bookmarkStart w:id="123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3"/>
    <w:bookmarkStart w:id="124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4"/>
    <w:bookmarkStart w:id="125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5"/>
    <w:bookmarkStart w:id="126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26"/>
    <w:bookmarkStart w:id="127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27"/>
    <w:bookmarkStart w:id="128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28"/>
    <w:bookmarkStart w:id="129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43" Target="media/rId43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107" Target="media/rId107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56" Target="media/rId56.png" /><Relationship Type="http://schemas.openxmlformats.org/officeDocument/2006/relationships/image" Id="rId31" Target="media/rId31.png" /><Relationship Type="http://schemas.openxmlformats.org/officeDocument/2006/relationships/image" Id="rId93" Target="media/rId93.png" /><Relationship Type="http://schemas.openxmlformats.org/officeDocument/2006/relationships/image" Id="rId51" Target="media/rId51.png" /><Relationship Type="http://schemas.openxmlformats.org/officeDocument/2006/relationships/image" Id="rId100" Target="media/rId100.png" /><Relationship Type="http://schemas.openxmlformats.org/officeDocument/2006/relationships/image" Id="rId59" Target="media/rId59.png" /><Relationship Type="http://schemas.openxmlformats.org/officeDocument/2006/relationships/image" Id="rId96" Target="media/rId96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image" Id="rId47" Target="media/rId47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2026-06-19T06:05:11Z</dcterms:created>
  <dcterms:modified xsi:type="dcterms:W3CDTF">2026-06-19T06:05:11Z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