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44.png" ContentType="image/png"/>
  <Override PartName="/word/media/rId86.png" ContentType="image/png"/>
  <Override PartName="/word/media/rId89.png" ContentType="image/png"/>
  <Override PartName="/word/media/rId64.png" ContentType="image/png"/>
  <Override PartName="/word/media/rId101.png" ContentType="image/png"/>
  <Override PartName="/word/media/rId111.png" ContentType="image/png"/>
  <Override PartName="/word/media/rId24.png" ContentType="image/png"/>
  <Override PartName="/word/media/rId41.png" ContentType="image/png"/>
  <Override PartName="/word/media/rId38.png" ContentType="image/png"/>
  <Override PartName="/word/media/rId57.png" ContentType="image/png"/>
  <Override PartName="/word/media/rId32.png" ContentType="image/png"/>
  <Override PartName="/word/media/rId94.png" ContentType="image/png"/>
  <Override PartName="/word/media/rId52.png" ContentType="image/png"/>
  <Override PartName="/word/media/rId104.png" ContentType="image/png"/>
  <Override PartName="/word/media/rId60.png" ContentType="image/png"/>
  <Override PartName="/word/media/rId97.png" ContentType="image/png"/>
  <Override PartName="/word/media/rId77.png" ContentType="image/png"/>
  <Override PartName="/word/media/rId82.png" ContentType="image/png"/>
  <Override PartName="/word/media/rId72.png" ContentType="image/png"/>
  <Override PartName="/word/media/rId48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1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X160aca457c70b7bf57f86990fd6f0490081dceb"/>
    <w:p>
      <w:pPr>
        <w:pStyle w:val="Heading2"/>
      </w:pPr>
      <w:r>
        <w:t xml:space="preserve">2A. The original feasibility study: passive cooling of a TPU node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 thermal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and white-paint properties from the Gilmore handbook [20]. Reproduced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orbital_dc.thermal.report_i_baseline()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The work that opened this line of analysis asked a single, narrow question: can a node carrying several</w:t>
      </w:r>
      <w:r>
        <w:t xml:space="preserve"> </w:t>
      </w:r>
      <w:r>
        <w:t xml:space="preserve">high-power accelerators be held within its temperature limit at 650 kilometers using only passive</w:t>
      </w:r>
      <w:r>
        <w:t xml:space="preserve"> </w:t>
      </w:r>
      <w:r>
        <w:t xml:space="preserve">radiative cooling, with no refrigeration and no consumable coolant. The answer governs everything that</w:t>
      </w:r>
      <w:r>
        <w:t xml:space="preserve"> </w:t>
      </w:r>
      <w:r>
        <w:t xml:space="preserve">follows, because if the thermal case fails at the node level there is nothing to scale. This chapter</w:t>
      </w:r>
      <w:r>
        <w:t xml:space="preserve"> </w:t>
      </w:r>
      <w:r>
        <w:t xml:space="preserve">reproduces that original steady-state design point in full, since the rest of the book extends and</w:t>
      </w:r>
      <w:r>
        <w:t xml:space="preserve"> </w:t>
      </w:r>
      <w:r>
        <w:t xml:space="preserve">stress-tests it; the general thermal theory it draws on is developed in Chapter 10.</w:t>
      </w:r>
    </w:p>
    <w:p>
      <w:pPr>
        <w:pStyle w:val="BodyText"/>
      </w:pPr>
      <w:r>
        <w:rPr>
          <w:b/>
          <w:bCs/>
        </w:rPr>
        <w:t xml:space="preserve">The heat load.</w:t>
      </w:r>
      <w:r>
        <w:t xml:space="preserve"> </w:t>
      </w:r>
      <w:r>
        <w:t xml:space="preserve">The reference node dissipates four accelerators at a per-chip power of 300 watts,</w:t>
      </w:r>
      <w:r>
        <w:t xml:space="preserve"> </w:t>
      </w:r>
      <w:r>
        <w:t xml:space="preserve">together with avionics and a parasitic allowance: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+</m:t>
          </m:r>
          <m:sSub>
            <m:e>
              <m:r>
                <m:t>150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100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1450</m:t>
          </m:r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Radiator temperature.</w:t>
      </w:r>
      <w:r>
        <w:t xml:space="preserve"> </w:t>
      </w:r>
      <w:r>
        <w:t xml:space="preserve">All of this heat leaves as thermal radiation. For a gray emitter of area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from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sides into a cold background, the steady-state panel</w:t>
      </w:r>
      <w:r>
        <w:t xml:space="preserve"> </w:t>
      </w:r>
      <w:r>
        <w:t xml:space="preserve">temperature follows from the Stefan-Boltzmann balance,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ε</m:t>
          </m:r>
          <m:r>
            <m:t> </m:t>
          </m:r>
          <m:r>
            <m:t>σ</m:t>
          </m:r>
          <m:r>
            <m:t> </m:t>
          </m:r>
          <m:r>
            <m:t>A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t> 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  <m:sup>
              <m:r>
                <m:t>4</m:t>
              </m:r>
            </m:sup>
          </m:sSubSup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</m:sub>
                      </m:sSub>
                    </m:num>
                    <m:den>
                      <m:r>
                        <m:t>ε</m:t>
                      </m:r>
                      <m:r>
                        <m:t> </m:t>
                      </m:r>
                      <m:r>
                        <m:t>σ</m:t>
                      </m:r>
                      <m:r>
                        <m:t> </m:t>
                      </m:r>
                      <m:r>
                        <m:t>A</m:t>
                      </m:r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two two-square-meter panels treated as a single-sided four-square-meter emitter, Z-93 white paint</w:t>
      </w:r>
      <w:r>
        <w:t xml:space="preserve"> </w:t>
      </w:r>
      <w:r>
        <w:t xml:space="preserve">at its end-of-life emissivity of 0.85, the panel settles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21.3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radiator is comfortable; the difficulty is entirely in getting the heat from the silicon to it.</w:t>
      </w:r>
    </w:p>
    <w:p>
      <w:pPr>
        <w:pStyle w:val="BodyText"/>
      </w:pPr>
      <w:r>
        <w:rPr>
          <w:b/>
          <w:bCs/>
        </w:rPr>
        <w:t xml:space="preserve">The conduction chain.</w:t>
      </w:r>
      <w:r>
        <w:t xml:space="preserve"> </w:t>
      </w:r>
      <w:r>
        <w:t xml:space="preserve">Between the transistor junction and the panel sits a series of thermal</w:t>
      </w:r>
      <w:r>
        <w:t xml:space="preserve"> </w:t>
      </w:r>
      <w:r>
        <w:t xml:space="preserve">resistances: junction to case, the thermal interface material, the cold-plate base, the heat pipe, and</w:t>
      </w:r>
      <w:r>
        <w:t xml:space="preserve"> </w:t>
      </w:r>
      <w:r>
        <w:t xml:space="preserve">the radiator interface. In series they add,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j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original budget is</w:t>
      </w:r>
      <w:r>
        <w:t xml:space="preserve"> </w:t>
      </w:r>
      <m:oMath>
        <m:r>
          <m:t>0.150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+</m:t>
        </m:r>
        <m:r>
          <m:t>0.060</m:t>
        </m:r>
        <m:r>
          <m:rPr>
            <m:sty m:val="p"/>
          </m:rPr>
          <m:t>+</m:t>
        </m:r>
        <m:r>
          <m:t>0.050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=</m:t>
        </m:r>
        <m:r>
          <m:t>0.300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after a modest</w:t>
      </w:r>
      <w:r>
        <w:t xml:space="preserve"> </w:t>
      </w:r>
      <w:r>
        <w:t xml:space="preserve">interface and heat-pipe improvement, down from</w:t>
      </w:r>
      <w:r>
        <w:t xml:space="preserve"> </w:t>
      </w:r>
      <m:oMath>
        <m:r>
          <m:t>0.350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before it. The junction-to-case</w:t>
      </w:r>
      <w:r>
        <w:t xml:space="preserve"> </w:t>
      </w:r>
      <w:r>
        <w:t xml:space="preserve">term dominates and is fixed by the package; the terms a designer can influence are the interface</w:t>
      </w:r>
      <w:r>
        <w:t xml:space="preserve"> </w:t>
      </w:r>
      <w:r>
        <w:t xml:space="preserve">material and the heat pipe.</w:t>
      </w:r>
    </w:p>
    <w:p>
      <w:pPr>
        <w:pStyle w:val="BodyText"/>
      </w:pPr>
      <w:r>
        <w:rPr>
          <w:b/>
          <w:bCs/>
        </w:rPr>
        <w:t xml:space="preserve">Junction temperature and the margin.</w:t>
      </w:r>
      <w:r>
        <w:t xml:space="preserve"> </w:t>
      </w:r>
      <w:r>
        <w:t xml:space="preserve">The junction sits above the radiator by the product of</w:t>
      </w:r>
      <w:r>
        <w:t xml:space="preserve"> </w:t>
      </w:r>
      <w:r>
        <w:t xml:space="preserve">per-chip power and chain resistance,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t>21.3</m:t>
          </m:r>
          <m:r>
            <m:rPr>
              <m:sty m:val="p"/>
            </m:rPr>
            <m:t>+</m:t>
          </m:r>
          <m:r>
            <m:t>300</m:t>
          </m:r>
          <m:r>
            <m:rPr>
              <m:sty m:val="p"/>
            </m:rPr>
            <m:t>×</m:t>
          </m:r>
          <m:r>
            <m:t>0.300</m:t>
          </m:r>
          <m:r>
            <m:rPr>
              <m:sty m:val="p"/>
            </m:rPr>
            <m:t>=</m:t>
          </m:r>
          <m:r>
            <m:t>111.3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Against a junction limit of</w:t>
      </w:r>
      <w:r>
        <w:t xml:space="preserve"> </w:t>
      </w:r>
      <m:oMath>
        <m:r>
          <m:t>125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this leaves a margin of</w:t>
      </w:r>
      <w:r>
        <w:t xml:space="preserve"> </w:t>
      </w:r>
      <m:oMath>
        <m:r>
          <m:t>13.6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case closes, but not by much. The single result that named this study is that margin: passive</w:t>
      </w:r>
      <w:r>
        <w:t xml:space="preserve"> </w:t>
      </w:r>
      <w:r>
        <w:t xml:space="preserve">cooling of a 300-watt-class accelerator at this altitude is feasible, and feasible only with a thin</w:t>
      </w:r>
      <w:r>
        <w:t xml:space="preserve"> </w:t>
      </w:r>
      <w:r>
        <w:t xml:space="preserve">allowance.</w:t>
      </w:r>
    </w:p>
    <w:p>
      <w:pPr>
        <w:pStyle w:val="BodyText"/>
      </w:pPr>
      <w:r>
        <w:rPr>
          <w:b/>
          <w:bCs/>
        </w:rPr>
        <w:t xml:space="preserve">Robustness.</w:t>
      </w:r>
      <w:r>
        <w:t xml:space="preserve"> </w:t>
      </w:r>
      <w:r>
        <w:t xml:space="preserve">A spacecraft thermal path carries redundant heat pipes, so the design must survive one</w:t>
      </w:r>
      <w:r>
        <w:t xml:space="preserve"> </w:t>
      </w:r>
      <w:r>
        <w:t xml:space="preserve">failing. If a single pipe drops out, the pipe resistance rises by about one part in seven, adding</w:t>
      </w:r>
      <w:r>
        <w:t xml:space="preserve"> </w:t>
      </w:r>
      <m:oMath>
        <m:r>
          <m:t>0.011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to the chain,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0.300</m:t>
          </m:r>
          <m:r>
            <m:rPr>
              <m:sty m:val="p"/>
            </m:rPr>
            <m:t>+</m:t>
          </m:r>
          <m:r>
            <m:t>0.011</m:t>
          </m:r>
          <m:r>
            <m:rPr>
              <m:sty m:val="p"/>
            </m:rPr>
            <m:t>=</m:t>
          </m:r>
          <m:r>
            <m:t>0.311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W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114.8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junction climbs to</w:t>
      </w:r>
      <w:r>
        <w:t xml:space="preserve"> </w:t>
      </w:r>
      <m:oMath>
        <m:r>
          <m:t>114.8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so the margin narrows to about ten degrees but stays</w:t>
      </w:r>
      <w:r>
        <w:t xml:space="preserve"> </w:t>
      </w:r>
      <w:r>
        <w:t xml:space="preserve">positive. The single-fault case survives.</w:t>
      </w:r>
    </w:p>
    <w:p>
      <w:pPr>
        <w:pStyle w:val="BodyText"/>
      </w:pPr>
      <w:r>
        <w:rPr>
          <w:b/>
          <w:bCs/>
        </w:rPr>
        <w:t xml:space="preserve">What the study did and did not establish.</w:t>
      </w:r>
      <w:r>
        <w:t xml:space="preserve"> </w:t>
      </w:r>
      <w:r>
        <w:t xml:space="preserve">Three caveats travel with this result, and they set the</w:t>
      </w:r>
      <w:r>
        <w:t xml:space="preserve"> </w:t>
      </w:r>
      <w:r>
        <w:t xml:space="preserve">agenda for the rest of the book. First, the per-chip power was taken as 300 watts; the actual figure for</w:t>
      </w:r>
      <w:r>
        <w:t xml:space="preserve"> </w:t>
      </w:r>
      <w:r>
        <w:t xml:space="preserve">the reference accelerator is undisclosed and is more plausibly in the 150-to-200-watt range, in which</w:t>
      </w:r>
      <w:r>
        <w:t xml:space="preserve"> </w:t>
      </w:r>
      <w:r>
        <w:t xml:space="preserve">case the junction sits well below the limit and the margin is larger, not smaller. The 300-watt case is</w:t>
      </w:r>
      <w:r>
        <w:t xml:space="preserve"> </w:t>
      </w:r>
      <w:r>
        <w:t xml:space="preserve">therefore conservative. Second, and pointing the other way, the analysis is a single-node steady state;</w:t>
      </w:r>
      <w:r>
        <w:t xml:space="preserve"> </w:t>
      </w:r>
      <w:r>
        <w:t xml:space="preserve">it does not by itself address the sharper wall that appears as per-chip power rises, where above roughly</w:t>
      </w:r>
      <w:r>
        <w:t xml:space="preserve"> </w:t>
      </w:r>
      <w:r>
        <w:t xml:space="preserve">400 watts the interface term alone overruns the entire budget and a passive chain can no longer cope, a</w:t>
      </w:r>
      <w:r>
        <w:t xml:space="preserve"> </w:t>
      </w:r>
      <w:r>
        <w:t xml:space="preserve">point developed in Chapter 10. Third, the original study was candid that the thermal case being feasible</w:t>
      </w:r>
      <w:r>
        <w:t xml:space="preserve"> </w:t>
      </w:r>
      <w:r>
        <w:t xml:space="preserve">does not make the system economical: its own break-even analysis was negative, which is exactly the</w:t>
      </w:r>
      <w:r>
        <w:t xml:space="preserve"> </w:t>
      </w:r>
      <w:r>
        <w:t xml:space="preserve">question Chapter 22 takes up in detail. The thin margin and the per-chip ceiling are what motivated the</w:t>
      </w:r>
      <w:r>
        <w:t xml:space="preserve"> </w:t>
      </w:r>
      <w:r>
        <w:t xml:space="preserve">full survivability, integration, and economic treatment that makes up the remainder of this book.</w:t>
      </w:r>
    </w:p>
    <w:bookmarkEnd w:id="18"/>
    <w:bookmarkStart w:id="19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9"/>
    <w:bookmarkStart w:id="20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rPr>
          <w:i/>
          <w:iCs/>
        </w:rPr>
        <w:t xml:space="preserve">Sources: margin and readiness practice from the NASA Systems Engineering Handbook [13], AIAA S-120 [14], the Goddard concurrent-design practice [15], and the SMAD systems text [18].</w:t>
      </w:r>
    </w:p>
    <w:p>
      <w:pPr>
        <w:pStyle w:val="BodyText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7" w:name="part-ii-the-orbital-environment"/>
    <w:p>
      <w:pPr>
        <w:pStyle w:val="Heading1"/>
      </w:pPr>
      <w:r>
        <w:t xml:space="preserve">PART II, THE ORBITAL ENVIRONMENT</w:t>
      </w:r>
    </w:p>
    <w:bookmarkStart w:id="22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rPr>
          <w:i/>
          <w:iCs/>
        </w:rPr>
        <w:t xml:space="preserve">Sources: the circular-orbit relations, vis-viva equation, and specific energy follow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astrodynamics texts, principally Curtis [16] and Vallado [17].</w:t>
      </w:r>
    </w:p>
    <w:p>
      <w:pPr>
        <w:pStyle w:val="BodyText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2"/>
    <w:bookmarkStart w:id="23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rPr>
          <w:i/>
          <w:iCs/>
        </w:rPr>
        <w:t xml:space="preserve">Sources: the J2 secular precession and the sun-synchronous condition follow Vallado [17] and Curtis [16].</w:t>
      </w:r>
    </w:p>
    <w:p>
      <w:pPr>
        <w:pStyle w:val="BodyText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Origin of the precession.</w:t>
      </w:r>
      <w:r>
        <w:t xml:space="preserve"> </w:t>
      </w:r>
      <w:r>
        <w:t xml:space="preserve">Earth’s gravitational potential, expanded in zonal harmonics and kept</w:t>
      </w:r>
      <w:r>
        <w:t xml:space="preserve"> </w:t>
      </w:r>
      <w:r>
        <w:t xml:space="preserve">to the leading oblateness term, is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geocentric latitude and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second Legendre polynomial. The term beyond the</w:t>
      </w:r>
      <w:r>
        <w:t xml:space="preserve"> </w:t>
      </w:r>
      <w:r>
        <w:t xml:space="preserve">point-mass field is the disturbing function</w:t>
      </w:r>
      <w:r>
        <w:t xml:space="preserve"> </w:t>
      </w:r>
      <m:oMath>
        <m:r>
          <m:t>R</m:t>
        </m:r>
      </m:oMath>
      <w:r>
        <w:t xml:space="preserve">. Writing the latitude through the orbital geometry,</w:t>
      </w:r>
      <w:r>
        <w:t xml:space="preserve"> </w:t>
      </w:r>
      <m:oMath>
        <m:r>
          <m:rPr>
            <m:sty m:val="p"/>
          </m:rPr>
          <m:t>sin</m:t>
        </m:r>
        <m:r>
          <m:t>ϕ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i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true anomaly, and averaging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over one</w:t>
      </w:r>
      <w:r>
        <w:t xml:space="preserve"> </w:t>
      </w:r>
      <w:r>
        <w:t xml:space="preserve">revolution removes the short-period terms and leaves the secular part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Lagrange’s planetary equation for the node connects this averaged potential to the drift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t>i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Carrying out the derivative of (5.3) with respect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t>i</m:t>
        </m:r>
        <m:r>
          <m:rPr>
            <m:sty m:val="p"/>
          </m:rPr>
          <m:t>∝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cos</m:t>
        </m:r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sin</m:t>
        </m:r>
        <m:r>
          <m:t>i</m:t>
        </m:r>
      </m:oMath>
      <w:r>
        <w:t xml:space="preserve"> </w:t>
      </w:r>
      <w:r>
        <w:t xml:space="preserve">in the denominator of (5.4) cancels, leaving the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</m:oMath>
      <w:r>
        <w:t xml:space="preserve"> </w:t>
      </w:r>
      <w:r>
        <w:t xml:space="preserve">dependence of (5.1). The</w:t>
      </w:r>
      <w:r>
        <w:t xml:space="preserve"> </w:t>
      </w:r>
      <w:r>
        <w:t xml:space="preserve">result is exact at first order in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 eccentricity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the semi-latus rectum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the near-circular reference orbit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a</m:t>
        </m:r>
      </m:oMath>
      <w:r>
        <w:t xml:space="preserve"> </w:t>
      </w:r>
      <w:r>
        <w:t xml:space="preserve">and (5.1) follows directly. The sign</w:t>
      </w:r>
      <w:r>
        <w:t xml:space="preserve"> </w:t>
      </w:r>
      <w:r>
        <w:t xml:space="preserve">is negative for prograde orbits (</w:t>
      </w:r>
      <m:oMath>
        <m:r>
          <m:t>i</m:t>
        </m:r>
        <m:r>
          <m:rPr>
            <m:sty m:val="p"/>
          </m:rPr>
          <m:t>&lt;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so the node regresses, and positive for retrograde</w:t>
      </w:r>
      <w:r>
        <w:t xml:space="preserve"> </w:t>
      </w:r>
      <w:r>
        <w:t xml:space="preserve">orbits, which is what makes synchronization with the Sun possible.</w:t>
      </w:r>
    </w:p>
    <w:p>
      <w:pPr>
        <w:pStyle w:val="BodyText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(5.5)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 and the value returned by</w:t>
      </w:r>
      <w:r>
        <w:t xml:space="preserve"> </w:t>
      </w:r>
      <w:r>
        <w:rPr>
          <w:rStyle w:val="VerbatimChar"/>
        </w:rPr>
        <w:t xml:space="preserve">orbital_dc.orbit.sso_inclination(650)</w:t>
      </w:r>
      <w:r>
        <w:t xml:space="preserve">. By</w:t>
      </w:r>
      <w:r>
        <w:t xml:space="preserve"> </w:t>
      </w:r>
      <w:r>
        <w:t xml:space="preserve">construction the corresponding nodal precession is</w:t>
      </w:r>
      <w:r>
        <w:t xml:space="preserve"> </w:t>
      </w:r>
      <m:oMath>
        <m:r>
          <m:t>0.9856</m:t>
        </m:r>
      </m:oMath>
      <w:r>
        <w:t xml:space="preserve"> </w:t>
      </w:r>
      <w:r>
        <w:t xml:space="preserve">degrees per day, exactly one turn per</w:t>
      </w:r>
      <w:r>
        <w:t xml:space="preserve"> </w:t>
      </w:r>
      <w:r>
        <w:t xml:space="preserve">tropical year, which is the defining property of the orbit. The required inclination rises slowly with</w:t>
      </w:r>
      <w:r>
        <w:t xml:space="preserve"> </w:t>
      </w:r>
      <w:r>
        <w:t xml:space="preserve">altitude, from about</w:t>
      </w:r>
      <w:r>
        <w:t xml:space="preserve"> </w:t>
      </w:r>
      <m:oMath>
        <m:sSup>
          <m:e>
            <m:r>
              <m:t>96.3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200 kilometers to</w:t>
      </w:r>
      <w:r>
        <w:t xml:space="preserve"> </w:t>
      </w:r>
      <m:oMath>
        <m:sSup>
          <m:e>
            <m:r>
              <m:t>98.6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800 kilometers, because the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factor in (5.5) outpaces the fall in</w:t>
      </w:r>
      <w:r>
        <w:t xml:space="preserve"> </w:t>
      </w:r>
      <m:oMath>
        <m:r>
          <m:t>n</m:t>
        </m:r>
      </m:oMath>
      <w:r>
        <w:t xml:space="preserve">. The dawn-dusk variant orients the orbital</w:t>
      </w:r>
      <w:r>
        <w:t xml:space="preserve"> </w:t>
      </w:r>
      <w:r>
        <w:t xml:space="preserve">plane near Earth’s terminator, which (Chapter 6) yields nearly continuous sunlight and minimal thermal</w:t>
      </w:r>
      <w:r>
        <w:t xml:space="preserve"> </w:t>
      </w:r>
      <w:r>
        <w:t xml:space="preserve">cycling, a decisive advantage for a high-power, thermally sensitive payload.</w:t>
      </w:r>
    </w:p>
    <w:bookmarkEnd w:id="23"/>
    <w:bookmarkStart w:id="27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rPr>
          <w:i/>
          <w:iCs/>
        </w:rPr>
        <w:t xml:space="preserve">Sources: the beta-angle and eclipse-fraction geometry follow Curtis [16] and the SMAD mission-design text [18].</w:t>
      </w:r>
    </w:p>
    <w:p>
      <w:pPr>
        <w:pStyle w:val="BodyText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Derivation from the cylindrical shadow.</w:t>
      </w:r>
      <w:r>
        <w:t xml:space="preserve"> </w:t>
      </w:r>
      <w:r>
        <w:t xml:space="preserve">Treat Earth’s shadow as a half-infinite cylinder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pointing away from the Sun, a good approximation in low Earth orbit where the penumbra is narrow</w:t>
      </w:r>
      <w:r>
        <w:t xml:space="preserve"> </w:t>
      </w:r>
      <w:r>
        <w:t xml:space="preserve">and the Sun is effectively at infinity. A point on the circular orbit of radius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w:r>
        <w:t xml:space="preserve">shadow when its distance from the shadow axis is less than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 it is on the anti-sun side. Resolve</w:t>
      </w:r>
      <w:r>
        <w:t xml:space="preserve"> </w:t>
      </w:r>
      <w:r>
        <w:t xml:space="preserve">the orbit into the shadow frame: the component of the orbit radius perpendicular to the Sun line, for an</w:t>
      </w:r>
      <w:r>
        <w:t xml:space="preserve"> </w:t>
      </w:r>
      <w:r>
        <w:t xml:space="preserve">orbit whose plane makes angle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that line, traces an ellipse of semi-axes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β</m:t>
        </m:r>
      </m:oMath>
      <w:r>
        <w:t xml:space="preserve">.</w:t>
      </w:r>
      <w:r>
        <w:t xml:space="preserve"> </w:t>
      </w:r>
      <w:r>
        <w:t xml:space="preserve">The satellite is eclipsed over the arc where this projected position falls within the cylinder, and the</w:t>
      </w:r>
      <w:r>
        <w:t xml:space="preserve"> </w:t>
      </w:r>
      <w:r>
        <w:t xml:space="preserve">half-angle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of that arc, measured from the anti-solar point,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r</m:t>
              </m:r>
              <m:r>
                <m:t> 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t>h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eclipse occupies the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of the orbit (the full eclipsed arc is</w:t>
      </w:r>
      <w:r>
        <w:t xml:space="preserve"> </w:t>
      </w:r>
      <m:oMath>
        <m:r>
          <m:t>2</m:t>
        </m:r>
        <m:r>
          <m:t>ψ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2</m:t>
        </m:r>
        <m:r>
          <m:t>π</m:t>
        </m:r>
      </m:oMath>
      <w:r>
        <w:t xml:space="preserve">), and the sunlit fraction is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E</m:t>
            </m:r>
          </m:sub>
        </m:sSub>
      </m:oMath>
      <w:r>
        <w:t xml:space="preserve">, which is (6.2). The expression is real</w:t>
      </w:r>
      <w:r>
        <w:t xml:space="preserve"> </w:t>
      </w:r>
      <w:r>
        <w:t xml:space="preserve">only while the bracket does not exceed one; the threshold where</w:t>
      </w:r>
      <w:r>
        <w:t xml:space="preserve"> </w:t>
      </w:r>
      <m:oMath>
        <m:r>
          <m:rPr>
            <m:sty m:val="p"/>
          </m:rPr>
          <m:t>cos</m:t>
        </m:r>
        <m:r>
          <m:t>ψ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 critical beta</w:t>
      </w:r>
      <w:r>
        <w:t xml:space="preserve"> </w:t>
      </w:r>
      <w:r>
        <w:t xml:space="preserve">of (6.1), at which the eclipse arc shrinks to zero.</w:t>
      </w:r>
    </w:p>
    <w:p>
      <w:pPr>
        <w:pStyle w:val="BodyText"/>
      </w:pPr>
      <w:r>
        <w:rPr>
          <w:b/>
          <w:bCs/>
        </w:rPr>
        <w:t xml:space="preserve">Annual variation of the beta angle.</w:t>
      </w:r>
      <w:r>
        <w:t xml:space="preserve"> </w:t>
      </w:r>
      <w:r>
        <w:t xml:space="preserve">The beta angle is not fixed: it depends on the angle between the</w:t>
      </w:r>
      <w:r>
        <w:t xml:space="preserve"> </w:t>
      </w:r>
      <w:r>
        <w:t xml:space="preserve">orbit plane and the instantaneous Sun direction. For an orbit of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node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with</w:t>
      </w:r>
      <w:r>
        <w:t xml:space="preserve"> </w:t>
      </w:r>
      <w:r>
        <w:t xml:space="preserve">solar ecliptic longitude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and obliquity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23.44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cos</m:t>
          </m:r>
          <m:r>
            <m:t>ε</m:t>
          </m:r>
          <m:r>
            <m:rPr>
              <m:sty m:val="p"/>
            </m:rPr>
            <m:t>cos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t>ε</m:t>
          </m:r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holds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 a fixed local time by construction, so the seasonal swing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is what moves</w:t>
      </w:r>
      <w:r>
        <w:t xml:space="preserve"> </w:t>
      </w:r>
      <m:oMath>
        <m:r>
          <m:t>β</m:t>
        </m:r>
      </m:oMath>
      <w:r>
        <w:t xml:space="preserve">. For the dawn-dusk case, where the node is set near the six o’clock</w:t>
      </w:r>
      <w:r>
        <w:t xml:space="preserve"> </w:t>
      </w:r>
      <w:r>
        <w:t xml:space="preserve">line so the orbit plane contains the terminator, (6.4) reduces to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oscillating between about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over the year, the lower bound being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ε</m:t>
        </m:r>
      </m:oMath>
      <w:r>
        <w:t xml:space="preserve">.</w:t>
      </w:r>
    </w:p>
    <w:p>
      <w:pPr>
        <w:pStyle w:val="BodyText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Because the dawn-dusk orbit keeps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above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all times, it stays above this</w:t>
      </w:r>
      <w:r>
        <w:t xml:space="preserve"> </w:t>
      </w:r>
      <m:oMath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threshold year round, so the satellite</w:t>
      </w:r>
      <w:r>
        <w:t xml:space="preserve"> </w:t>
      </w:r>
      <w:r>
        <w:t xml:space="preserve">never enters a deep eclipse 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 illumination exceeds ninety-five percent, the</w:t>
      </w:r>
      <w:r>
        <w:t xml:space="preserve"> </w:t>
      </w:r>
      <w:r>
        <w:t xml:space="preserve">battery need is minimal (Chapter 11), and the thermal environment is nearly steady, justifying the</w:t>
      </w:r>
      <w:r>
        <w:t xml:space="preserve"> </w:t>
      </w:r>
      <w:r>
        <w:t xml:space="preserve">quasi-steady thermal treatment of Chapter 10. This is the single most favorable environmental choice</w:t>
      </w:r>
      <w:r>
        <w:t xml:space="preserve"> </w:t>
      </w:r>
      <w:r>
        <w:t xml:space="preserve">available to the architecture, and it is robust to the seasonal beta swing rather than dependent on a</w:t>
      </w:r>
      <w:r>
        <w:t xml:space="preserve"> </w:t>
      </w:r>
      <w:r>
        <w:t xml:space="preserve">single favorable date.</w:t>
      </w:r>
    </w:p>
    <w:p>
      <w:pPr>
        <w:pStyle w:val="CaptionedFigure"/>
      </w:pPr>
      <w:r>
        <w:drawing>
          <wp:inline>
            <wp:extent cx="5334000" cy="2294266"/>
            <wp:effectExtent b="0" l="0" r="0" t="0"/>
            <wp:docPr descr="Fig. 6.1 Critical beta angle versus altitude, and eclipse fraction versus beta at 650 km. A dawn-dusk orbit holds the beta angle high, so the satellite stays sunlit." title="" id="25" name="Picture"/>
            <a:graphic>
              <a:graphicData uri="http://schemas.openxmlformats.org/drawingml/2006/picture">
                <pic:pic>
                  <pic:nvPicPr>
                    <pic:cNvPr descr="figures2/figA1_eclip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7"/>
    <w:bookmarkStart w:id="31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rPr>
          <w:i/>
          <w:iCs/>
        </w:rPr>
        <w:t xml:space="preserve">Sources: density from the NRLMSIS empirical model [11]; the drag and orbit-averaged decay treatment</w:t>
      </w:r>
      <w:r>
        <w:rPr>
          <w:i/>
          <w:iCs/>
        </w:rPr>
        <w:t xml:space="preserve"> </w:t>
      </w:r>
      <w:r>
        <w:rPr>
          <w:i/>
          <w:iCs/>
        </w:rPr>
        <w:t xml:space="preserve">follows Curtis [16] and the space-environment texts of Tribble [22] and Pisacane [23].</w:t>
      </w:r>
    </w:p>
    <w:p>
      <w:pPr>
        <w:pStyle w:val="BodyText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393613"/>
            <wp:effectExtent b="0" l="0" r="0" t="0"/>
            <wp:docPr descr="Fig. 7.1, Natural orbital lifetime versus altitude with the solar-cycle uncertainty band; at 650 km the realistic lifetime fails the five-year disposal rule." title="" id="29" name="Picture"/>
            <a:graphic>
              <a:graphicData uri="http://schemas.openxmlformats.org/drawingml/2006/picture">
                <pic:pic>
                  <pic:nvPicPr>
                    <pic:cNvPr descr="figures/fig1_orbital_deca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1"/>
    <w:bookmarkStart w:id="35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rPr>
          <w:i/>
          <w:iCs/>
        </w:rPr>
        <w:t xml:space="preserve">Sources: trapped-particle fluxes from the AE8/AP8 [25] and AE9/AP9 [26] models; dose-depth via</w:t>
      </w:r>
      <w:r>
        <w:rPr>
          <w:i/>
          <w:iCs/>
        </w:rPr>
        <w:t xml:space="preserve"> </w:t>
      </w:r>
      <w:r>
        <w:rPr>
          <w:i/>
          <w:iCs/>
        </w:rPr>
        <w:t xml:space="preserve">SHIELDOSE [27]; environment and effects from Tribble [22], Pisacane [23], and Hastings and Garrett [24].</w:t>
      </w:r>
    </w:p>
    <w:p>
      <w:pPr>
        <w:pStyle w:val="BodyText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331868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3" name="Picture"/>
            <a:graphic>
              <a:graphicData uri="http://schemas.openxmlformats.org/drawingml/2006/picture">
                <pic:pic>
                  <pic:nvPicPr>
                    <pic:cNvPr descr="figures2/figA5_do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5"/>
    <w:bookmarkStart w:id="36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rPr>
          <w:i/>
          <w:iCs/>
        </w:rPr>
        <w:t xml:space="preserve">Sources: flux from NASA ORDEM 3.2 [8] and ESA MASTER [9]; the collision-frequency and cascade</w:t>
      </w:r>
      <w:r>
        <w:rPr>
          <w:i/>
          <w:iCs/>
        </w:rPr>
        <w:t xml:space="preserve"> </w:t>
      </w:r>
      <w:r>
        <w:rPr>
          <w:i/>
          <w:iCs/>
        </w:rPr>
        <w:t xml:space="preserve">framework follows Kessler and Cour-Palais [28] and Klinkrad [29].</w:t>
      </w:r>
    </w:p>
    <w:p>
      <w:pPr>
        <w:pStyle w:val="BodyText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76" w:name="part-iii-spacecraft-subsystems"/>
    <w:p>
      <w:pPr>
        <w:pStyle w:val="Heading1"/>
      </w:pPr>
      <w:r>
        <w:t xml:space="preserve">PART III, SPACECRAFT SUBSYSTEMS</w:t>
      </w:r>
    </w:p>
    <w:bookmarkStart w:id="47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spacecraft-specific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from the Gilmore thermal-control handbook [20] and ECSS-E-ST-31C [34].</w:t>
      </w:r>
    </w:p>
    <w:p>
      <w:pPr>
        <w:pStyle w:val="BodyText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294266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9" name="Picture"/>
            <a:graphic>
              <a:graphicData uri="http://schemas.openxmlformats.org/drawingml/2006/picture">
                <pic:pic>
                  <pic:nvPicPr>
                    <pic:cNvPr descr="figures2/figA3_radiato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297198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2" name="Picture"/>
            <a:graphic>
              <a:graphicData uri="http://schemas.openxmlformats.org/drawingml/2006/picture">
                <pic:pic>
                  <pic:nvPicPr>
                    <pic:cNvPr descr="figures2/figA2_load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371361"/>
            <wp:effectExtent b="0" l="0" r="0" t="0"/>
            <wp:docPr descr="Fig. 10.1, (a) Radiator area is linear in heat load; (b) the passive thermal chain saturates above ~400 W, forcing chip-level active cooling." title="" id="45" name="Picture"/>
            <a:graphic>
              <a:graphicData uri="http://schemas.openxmlformats.org/drawingml/2006/picture">
                <pic:pic>
                  <pic:nvPicPr>
                    <pic:cNvPr descr="figures/fig2_thermal_w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7"/>
    <w:bookmarkStart w:id="51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rPr>
          <w:i/>
          <w:iCs/>
        </w:rPr>
        <w:t xml:space="preserve">Sources: solar-array and power-budget sizing from SMAD [18] and the Gilmore handbook [20]; cell and battery parameters from vendor datasheets [12].</w:t>
      </w:r>
    </w:p>
    <w:p>
      <w:pPr>
        <w:pStyle w:val="BodyText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417128"/>
            <wp:effectExtent b="0" l="0" r="0" t="0"/>
            <wp:docPr descr="Fig. 11.1, Array area versus load, and triple-junction degradation over the mission." title="" id="49" name="Picture"/>
            <a:graphic>
              <a:graphicData uri="http://schemas.openxmlformats.org/drawingml/2006/picture">
                <pic:pic>
                  <pic:nvPicPr>
                    <pic:cNvPr descr="systems_figs/fig_pow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1"/>
    <w:bookmarkStart w:id="55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rPr>
          <w:i/>
          <w:iCs/>
        </w:rPr>
        <w:t xml:space="preserve">Sources: mass-growth allowances from AIAA S-120 [14]; structural and modal relations from SMAD [18] and Sidi [33].</w:t>
      </w:r>
    </w:p>
    <w:p>
      <w:pPr>
        <w:pStyle w:val="BodyText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4098073" cy="3863897"/>
            <wp:effectExtent b="0" l="0" r="0" t="0"/>
            <wp:docPr descr="Fig. 12.1 Reference satellite dry-mass breakdown by subsystem, closed self-consistently by the integrated model." title="" id="53" name="Picture"/>
            <a:graphic>
              <a:graphicData uri="http://schemas.openxmlformats.org/drawingml/2006/picture">
                <pic:pic>
                  <pic:nvPicPr>
                    <pic:cNvPr descr="figures2/figA8_mas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073" cy="3863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5"/>
    <w:bookmarkStart w:id="56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rPr>
          <w:i/>
          <w:iCs/>
        </w:rPr>
        <w:t xml:space="preserve">Sources: attitude dynamics and control from Wertz [32] and Sidi [33]; optical-pointing requirements from Hemmati [30].</w:t>
      </w:r>
    </w:p>
    <w:p>
      <w:pPr>
        <w:pStyle w:val="BodyText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6"/>
    <w:bookmarkStart w:id="63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rPr>
          <w:i/>
          <w:iCs/>
        </w:rPr>
        <w:t xml:space="preserve">Sources: the optical link budget follows Hemmati [30] and the free-space optical satellite-link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of Liang et al. [6].</w:t>
      </w:r>
    </w:p>
    <w:p>
      <w:pPr>
        <w:pStyle w:val="BodyText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30447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8" name="Picture"/>
            <a:graphic>
              <a:graphicData uri="http://schemas.openxmlformats.org/drawingml/2006/picture">
                <pic:pic>
                  <pic:nvPicPr>
                    <pic:cNvPr descr="figures2/figA4_link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415588"/>
            <wp:effectExtent b="0" l="0" r="0" t="0"/>
            <wp:docPr descr="Fig. 14.1, Inter-satellite free-space loss versus range and pointing-loss sensitivity." title="" id="61" name="Picture"/>
            <a:graphic>
              <a:graphicData uri="http://schemas.openxmlformats.org/drawingml/2006/picture">
                <pic:pic>
                  <pic:nvPicPr>
                    <pic:cNvPr descr="systems_figs/fig_comm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3"/>
    <w:bookmarkStart w:id="67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rPr>
          <w:i/>
          <w:iCs/>
        </w:rPr>
        <w:t xml:space="preserve">Sources: the rocket equation and propulsion sizing from Sutton and Biblarz [31]; the Hohmann de-orbit from Curtis [16]; the disposal requirement from FCC 22-74 [7].</w:t>
      </w:r>
    </w:p>
    <w:p>
      <w:pPr>
        <w:pStyle w:val="BodyText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069709"/>
            <wp:effectExtent b="0" l="0" r="0" t="0"/>
            <wp:docPr descr="Fig. 15.1, Per-satellite Δv budget (de-orbit dominates) and propellant mass by propulsion type." title="" id="65" name="Picture"/>
            <a:graphic>
              <a:graphicData uri="http://schemas.openxmlformats.org/drawingml/2006/picture">
                <pic:pic>
                  <pic:nvPicPr>
                    <pic:cNvPr descr="figures/fig5_deltav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9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7"/>
    <w:bookmarkStart w:id="71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rPr>
          <w:i/>
          <w:iCs/>
        </w:rPr>
        <w:t xml:space="preserve">Sources: reliability and redundancy methods from the SMAD systems texts [18, 19].</w:t>
      </w:r>
    </w:p>
    <w:p>
      <w:pPr>
        <w:pStyle w:val="BodyText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Let the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instantaneous failure rate of a</w:t>
      </w:r>
      <w:r>
        <w:t xml:space="preserve"> </w:t>
      </w:r>
      <w:r>
        <w:t xml:space="preserve">surviving unit. The survival probability obeys</w:t>
      </w:r>
      <w:r>
        <w:t xml:space="preserve"> </w:t>
      </w:r>
      <m:oMath>
        <m:r>
          <m:t>d</m:t>
        </m:r>
        <m:r>
          <m:t>R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R</m:t>
        </m:r>
      </m:oMath>
      <w:r>
        <w:t xml:space="preserve">, whose solution 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−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 In the flat region of the bathtub curve the hazard is</w:t>
      </w:r>
      <w:r>
        <w:t xml:space="preserve"> </w:t>
      </w:r>
      <w:r>
        <w:t xml:space="preserve">constant,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T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memoryless limit: a constant hazard is exactly the condition under which failures form a</w:t>
      </w:r>
      <w:r>
        <w:t xml:space="preserve"> </w:t>
      </w:r>
      <w:r>
        <w:t xml:space="preserve">Poisson process, and the mean of the resulting exponential lifetime distribution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 which</w:t>
      </w:r>
      <w:r>
        <w:t xml:space="preserve"> </w:t>
      </w:r>
      <w:r>
        <w:t xml:space="preserve">is why the mean time between failures appears directly in the exponent. A bus with a mean time between</w:t>
      </w:r>
      <w:r>
        <w:t xml:space="preserve"> </w:t>
      </w:r>
      <w:r>
        <w:t xml:space="preserve">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, so fewer than half survive</w:t>
      </w:r>
      <w:r>
        <w:t xml:space="preserve"> </w:t>
      </w:r>
      <w:r>
        <w:t xml:space="preserve">un-aided; a higher-grade bus at 150,000 hours reaches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 Either way a bare unit</w:t>
      </w:r>
      <w:r>
        <w:t xml:space="preserve"> </w:t>
      </w:r>
      <w:r>
        <w:t xml:space="preserve">is not enough, and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Consider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that fail independently, each surviving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 number that survive is binomial,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i</m:t>
                </m:r>
              </m:den>
            </m:f>
          </m:e>
        </m:d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</w:t>
      </w:r>
      <w:r>
        <w:t xml:space="preserve"> </w:t>
      </w:r>
      <w:r>
        <w:t xml:space="preserve">A system that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survive therefore has reliability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≥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expression sizes chip-level redundancy within a satellite and satellite-level</w:t>
      </w:r>
      <w:r>
        <w:t xml:space="preserve"> </w:t>
      </w:r>
      <w:r>
        <w:t xml:space="preserve">over-provisioning within a cluster. Its power is in the steep climb of the tail sum: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 </w:t>
      </w:r>
      <w:r>
        <w:t xml:space="preserve">nodes required to deliver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70</m:t>
        </m:r>
      </m:oMath>
      <w:r>
        <w:t xml:space="preserve">, a per-node reliability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0.89</m:t>
        </m:r>
      </m:oMath>
      <w:r>
        <w:t xml:space="preserve">, but raising the per-node figure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pushes it to</w:t>
      </w:r>
      <w:r>
        <w:t xml:space="preserve"> </w:t>
      </w:r>
      <m:oMath>
        <m:r>
          <m:t>0.999</m:t>
        </m:r>
      </m:oMath>
      <w:r>
        <w:t xml:space="preserve">. Small</w:t>
      </w:r>
      <w:r>
        <w:t xml:space="preserve"> </w:t>
      </w:r>
      <w:r>
        <w:t xml:space="preserve">gains in unit reliability buy large gains in system reliability once the redundancy margin is set.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 available,</w:t>
      </w:r>
      <w:r>
        <w:t xml:space="preserve"> </w:t>
      </w:r>
      <w:r>
        <w:t xml:space="preserve">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 For 81 deployed,</w:t>
      </w:r>
      <w:r>
        <w:t xml:space="preserve"> </w:t>
      </w:r>
      <w:r>
        <w:t xml:space="preserve">75 required,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, this is</w:t>
      </w:r>
      <w:r>
        <w:t xml:space="preserve"> </w:t>
      </w:r>
      <m:oMath>
        <m:r>
          <m:t>0.97</m:t>
        </m:r>
      </m:oMath>
      <w:r>
        <w:t xml:space="preserve">, so a six-unit margin holds capacity near full even before</w:t>
      </w:r>
      <w:r>
        <w:t xml:space="preserve"> </w:t>
      </w:r>
      <w:r>
        <w:t xml:space="preserve">any resupply. To sustain that level over the mission, units must be replaced as they fail. Modeling the</w:t>
      </w:r>
      <w:r>
        <w:t xml:space="preserve"> </w:t>
      </w:r>
      <w:r>
        <w:t xml:space="preserve">fleet as a renewal process, each unit that fails is replaced after a lead time, and in steady state the</w:t>
      </w:r>
      <w:r>
        <w:t xml:space="preserve"> </w:t>
      </w:r>
      <w:r>
        <w:t xml:space="preserve">replenishment rate equals the failure rate. For a design life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long-run annual replacement rate</w:t>
      </w:r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, about twenty percent per year for a five-year life, and holding a fixed</w:t>
      </w:r>
      <w:r>
        <w:t xml:space="preserve"> </w:t>
      </w:r>
      <w:r>
        <w:t xml:space="preserve">availability target against a given per-unit reliability sets the deployed count: reaching ninety-five</w:t>
      </w:r>
      <w:r>
        <w:t xml:space="preserve"> </w:t>
      </w:r>
      <w:r>
        <w:t xml:space="preserve">percent availability of 75 required nodes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calls for on the order of 89 deployed. The</w:t>
      </w:r>
      <w:r>
        <w:t xml:space="preserve"> </w:t>
      </w:r>
      <w:r>
        <w:t xml:space="preserve">associated replenishment is a major and recurring operating expense, carried explicitly in the</w:t>
      </w:r>
      <w:r>
        <w:t xml:space="preserve"> </w:t>
      </w:r>
      <w:r>
        <w:t xml:space="preserve">economics of Chapter 21. These figures are produced by</w:t>
      </w:r>
      <w:r>
        <w:t xml:space="preserve"> </w:t>
      </w:r>
      <w:r>
        <w:rPr>
          <w:rStyle w:val="VerbatimChar"/>
        </w:rPr>
        <w:t xml:space="preserve">orbital_dc.reliability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k_of_n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expected_capacity_fraction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spares_for_availability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annual_replacement_rate</w:t>
      </w:r>
      <w:r>
        <w:t xml:space="preserve">).</w:t>
      </w:r>
    </w:p>
    <w:p>
      <w:pPr>
        <w:pStyle w:val="CaptionedFigure"/>
      </w:pPr>
      <w:r>
        <w:drawing>
          <wp:inline>
            <wp:extent cx="5334000" cy="2405396"/>
            <wp:effectExtent b="0" l="0" r="0" t="0"/>
            <wp:docPr descr="Fig. 16.1, Per-node reliability versus time and the over-provisioning needed to hold capacity." title="" id="69" name="Picture"/>
            <a:graphic>
              <a:graphicData uri="http://schemas.openxmlformats.org/drawingml/2006/picture">
                <pic:pic>
                  <pic:nvPicPr>
                    <pic:cNvPr descr="systems_figs/fig_reliabil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1"/>
    <w:bookmarkStart w:id="75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rPr>
          <w:i/>
          <w:iCs/>
        </w:rPr>
        <w:t xml:space="preserve">Sources: accelerator throughput and power from vendor documentation [12]; the workload and utilization model from the reference architecture [1].</w:t>
      </w:r>
    </w:p>
    <w:p>
      <w:pPr>
        <w:pStyle w:val="BodyText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3844698"/>
            <wp:effectExtent b="0" l="0" r="0" t="0"/>
            <wp:docPr descr="Fig. 17.1, Added subsystems: passive thermal-throttle by chip, ground-station site diversity, latency crossover, and the discounted-cash-flow breakeven." title="" id="73" name="Picture"/>
            <a:graphic>
              <a:graphicData uri="http://schemas.openxmlformats.org/drawingml/2006/picture">
                <pic:pic>
                  <pic:nvPicPr>
                    <pic:cNvPr descr="systems_figs/fig_new_subsystem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93" w:name="Xe5ea88703363ae012ea2f87a0aad981517e6b12"/>
    <w:p>
      <w:pPr>
        <w:pStyle w:val="Heading1"/>
      </w:pPr>
      <w:r>
        <w:t xml:space="preserve">PART IV, INTEGRATION, SIMULATION, AND RESULTS</w:t>
      </w:r>
    </w:p>
    <w:bookmarkStart w:id="80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rPr>
          <w:i/>
          <w:iCs/>
        </w:rPr>
        <w:t xml:space="preserve">Sources: the mass, power, thermal, and delta-v closure follows standard concurrent-design practice (SMAD [18]).</w:t>
      </w:r>
    </w:p>
    <w:p>
      <w:pPr>
        <w:pStyle w:val="BodyText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268796"/>
            <wp:effectExtent b="0" l="0" r="0" t="0"/>
            <wp:docPr descr="Fig. 18.1, Integrated dry-mass budget, closed self-consistently by the system model." title="" id="78" name="Picture"/>
            <a:graphic>
              <a:graphicData uri="http://schemas.openxmlformats.org/drawingml/2006/picture">
                <pic:pic>
                  <pic:nvPicPr>
                    <pic:cNvPr descr="systems_figs/fig_mass_budge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80"/>
    <w:bookmarkStart w:id="81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rPr>
          <w:i/>
          <w:iCs/>
        </w:rPr>
        <w:t xml:space="preserve">Sources: the numerical methods (Newton-Raphson, bisection, Brent, Runge-Kutta) are standard; the orbital integrations are checked against Vallado [17].</w:t>
      </w:r>
    </w:p>
    <w:p>
      <w:pPr>
        <w:pStyle w:val="BodyText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1"/>
    <w:bookmarkStart w:id="85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rPr>
          <w:i/>
          <w:iCs/>
        </w:rPr>
        <w:t xml:space="preserve">Sources: linear error propagation and Monte-Carlo are standard practice; the input distributions are documented in Appendix C.</w:t>
      </w:r>
    </w:p>
    <w:p>
      <w:pPr>
        <w:pStyle w:val="BodyText"/>
      </w:pPr>
      <w:r>
        <w:t xml:space="preserve">A point design is not credible without an uncertainty band. Two complementary tools are used: linear</w:t>
      </w:r>
      <w:r>
        <w:t xml:space="preserve"> </w:t>
      </w:r>
      <w:r>
        <w:t xml:space="preserve">error propagation for a quick analytic estimate, and Monte-Carlo for the full distribution when the</w:t>
      </w:r>
      <w:r>
        <w:t xml:space="preserve"> </w:t>
      </w:r>
      <w:r>
        <w:t xml:space="preserve">inputs span orders of magnitude.</w:t>
      </w:r>
    </w:p>
    <w:p>
      <w:pPr>
        <w:pStyle w:val="BodyText"/>
      </w:pPr>
      <w:r>
        <w:rPr>
          <w:b/>
          <w:bCs/>
        </w:rPr>
        <w:t xml:space="preserve">Linear error propagation.</w:t>
      </w:r>
      <w:r>
        <w:t xml:space="preserve"> </w:t>
      </w:r>
      <w:r>
        <w:t xml:space="preserve">For an output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independent inputs of standard</w:t>
      </w:r>
      <w:r>
        <w:t xml:space="preserve"> </w:t>
      </w:r>
      <w:r>
        <w:t xml:space="preserve">deviation</w:t>
      </w:r>
      <w: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, a first-order Taylor expansion about the mean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sSubSup>
            <m:e>
              <m:r>
                <m:t>σ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exact for linear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good guide when the inputs vary by a few percent. It fails precisely</w:t>
      </w:r>
      <w:r>
        <w:t xml:space="preserve"> </w:t>
      </w:r>
      <w:r>
        <w:t xml:space="preserve">where the dominant uncertainty here lives, in atmospheric density, which is lognormal and varies by up</w:t>
      </w:r>
      <w:r>
        <w:t xml:space="preserve"> </w:t>
      </w:r>
      <w:r>
        <w:t xml:space="preserve">to two orders of magnitude across the solar cycle, so the partial-derivative picture is supplemented by</w:t>
      </w:r>
      <w:r>
        <w:t xml:space="preserve"> </w:t>
      </w:r>
      <w:r>
        <w:t xml:space="preserve">sampling.</w:t>
      </w:r>
    </w:p>
    <w:p>
      <w:pPr>
        <w:pStyle w:val="BodyText"/>
      </w:pPr>
      <w:r>
        <w:rPr>
          <w:b/>
          <w:bCs/>
        </w:rPr>
        <w:t xml:space="preserve">Monte-Carlo propagation.</w:t>
      </w:r>
      <w:r>
        <w:t xml:space="preserve"> </w:t>
      </w:r>
      <w:r>
        <w:t xml:space="preserve">The model draws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 of the uncertain inputs from their assumed</w:t>
      </w:r>
      <w:r>
        <w:t xml:space="preserve"> </w:t>
      </w:r>
      <w:r>
        <w:t xml:space="preserve">distributions, evaluates the full model for each, and forms the empirical distribution of every output.</w:t>
      </w:r>
      <w:r>
        <w:t xml:space="preserve"> </w:t>
      </w:r>
      <w:r>
        <w:t xml:space="preserve">The dominant inputs sampled are the solar-activity scenario (which moves atmospheric density by up to a</w:t>
      </w:r>
      <w:r>
        <w:t xml:space="preserve"> </w:t>
      </w:r>
      <w:r>
        <w:t xml:space="preserve">factor of one hundred), the debris-flux band, the model-FLOPs utilization, and the undisclosed chip</w:t>
      </w:r>
      <w:r>
        <w:t xml:space="preserve"> </w:t>
      </w:r>
      <w:r>
        <w:t xml:space="preserve">power. The estimator converges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a few thousand samples fix the central percentiles to</w:t>
      </w:r>
      <w:r>
        <w:t xml:space="preserve"> </w:t>
      </w:r>
      <w:r>
        <w:t xml:space="preserve">better than the input uncertainty warrants. The resulting distributions of natural lifetime,</w:t>
      </w:r>
      <w:r>
        <w:t xml:space="preserve"> </w:t>
      </w:r>
      <w:r>
        <w:t xml:space="preserve">catastrophic-impact probability, total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and delivered compute are reported as fifth,</w:t>
      </w:r>
      <w:r>
        <w:t xml:space="preserve"> </w:t>
      </w:r>
      <w:r>
        <w:t xml:space="preserve">fiftieth, and ninety-fifth percentiles rather than as single numbers (Fig. 19.1), produced by</w:t>
      </w:r>
      <w:r>
        <w:t xml:space="preserve"> </w:t>
      </w:r>
      <w:r>
        <w:rPr>
          <w:rStyle w:val="VerbatimChar"/>
        </w:rPr>
        <w:t xml:space="preserve">orbital_dc.montecarlo.monte_carlo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Sensitivity ranking.</w:t>
      </w:r>
      <w:r>
        <w:t xml:space="preserve"> </w:t>
      </w:r>
      <w:r>
        <w:t xml:space="preserve">To attribute output variance to inputs, the model uses a one-at-a-time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montecarlo.one_at_a_time</w:t>
      </w:r>
      <w:r>
        <w:t xml:space="preserve">) that holds all but one input at its central value and records the output</w:t>
      </w:r>
      <w:r>
        <w:t xml:space="preserve"> </w:t>
      </w:r>
      <w:r>
        <w:t xml:space="preserve">swing. The ratio of that swing to the baseline is a transparent local sensitivity index; where inputs</w:t>
      </w:r>
      <w:r>
        <w:t xml:space="preserve"> </w:t>
      </w:r>
      <w:r>
        <w:t xml:space="preserve">interact, the full Monte-Carlo variance is the honest measure. 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708893"/>
            <wp:effectExtent b="0" l="0" r="0" t="0"/>
            <wp:docPr descr="Fig. 19.1, Monte-Carlo distributions of natural lifetime, debris probability, and total Δv across the dominant uncertainties." title="" id="83" name="Picture"/>
            <a:graphic>
              <a:graphicData uri="http://schemas.openxmlformats.org/drawingml/2006/picture">
                <pic:pic>
                  <pic:nvPicPr>
                    <pic:cNvPr descr="systems_figs/fig_montecarl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8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5"/>
    <w:bookmarkStart w:id="92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16896"/>
            <wp:effectExtent b="0" l="0" r="0" t="0"/>
            <wp:docPr descr="Fig. 20.1, Catastrophic debris risk for the full cluster, and the in-cluster cascade coupling versus formation spacing." title="" id="87" name="Picture"/>
            <a:graphic>
              <a:graphicData uri="http://schemas.openxmlformats.org/drawingml/2006/picture">
                <pic:pic>
                  <pic:nvPicPr>
                    <pic:cNvPr descr="figures/fig3_debris_ris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462610"/>
            <wp:effectExtent b="0" l="0" r="0" t="0"/>
            <wp:docPr descr="Fig. 20.2, Cumulative dose versus aluminium shielding, and the reliability-throughput trade." title="" id="90" name="Picture"/>
            <a:graphic>
              <a:graphicData uri="http://schemas.openxmlformats.org/drawingml/2006/picture">
                <pic:pic>
                  <pic:nvPicPr>
                    <pic:cNvPr descr="figures/fig4_radia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9" w:name="part-v-economics-and-predictions"/>
    <w:p>
      <w:pPr>
        <w:pStyle w:val="Heading1"/>
      </w:pPr>
      <w:r>
        <w:t xml:space="preserve">PART V, ECONOMICS AND PREDICTIONS</w:t>
      </w:r>
    </w:p>
    <w:bookmarkStart w:id="100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rPr>
          <w:i/>
          <w:iCs/>
        </w:rPr>
        <w:t xml:space="preserve">Sources: the levelized-cost and net-present-value formulation follows standard engineering economics and the SMAD cost treatment [18]; launch-cost inputs per [35] and the reference architecture [1].</w:t>
      </w:r>
    </w:p>
    <w:p>
      <w:pPr>
        <w:pStyle w:val="BodyText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294266"/>
            <wp:effectExtent b="0" l="0" r="0" t="0"/>
            <wp:docPr descr="Fig. 21.1b Levelized cost of useful compute versus model-FLOPs utilization, and versus launch price. The cost is dominated by utilization and hardware, not by launch." title="" id="95" name="Picture"/>
            <a:graphic>
              <a:graphicData uri="http://schemas.openxmlformats.org/drawingml/2006/picture">
                <pic:pic>
                  <pic:nvPicPr>
                    <pic:cNvPr descr="figures2/figA7_lco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405396"/>
            <wp:effectExtent b="0" l="0" r="0" t="0"/>
            <wp:docPr descr="Fig. 21.1, Cost of useful compute versus utilization, and the radiation throughput tax by protection level." title="" id="98" name="Picture"/>
            <a:graphic>
              <a:graphicData uri="http://schemas.openxmlformats.org/drawingml/2006/picture">
                <pic:pic>
                  <pic:nvPicPr>
                    <pic:cNvPr descr="systems_figs/fig_comput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100"/>
    <w:bookmarkStart w:id="107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rPr>
          <w:i/>
          <w:iCs/>
        </w:rPr>
        <w:t xml:space="preserve">Sources: the learning-curve and cadence inputs follow the reference architecture’s cost model [1] and public launch data [35].</w:t>
      </w:r>
    </w:p>
    <w:p>
      <w:pPr>
        <w:pStyle w:val="BodyText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 The broader launch-cost landscape</w:t>
      </w:r>
      <w:r>
        <w:t xml:space="preserve"> </w:t>
      </w:r>
      <w:r>
        <w:t xml:space="preserve">that frames this target is shown in Fig. 22.1: today’s reusable launch still sits an order of magnitude</w:t>
      </w:r>
      <w:r>
        <w:t xml:space="preserve"> </w:t>
      </w:r>
      <w:r>
        <w:t xml:space="preserve">above it, and once the price falls below roughly 600 dollars per kilogram the all-in cost per satellite</w:t>
      </w:r>
      <w:r>
        <w:t xml:space="preserve"> </w:t>
      </w:r>
      <w:r>
        <w:t xml:space="preserve">is set by hardware rather than launch, so further reductions in launch price yield diminishing returns.</w:t>
      </w:r>
    </w:p>
    <w:p>
      <w:pPr>
        <w:pStyle w:val="CaptionedFigure"/>
      </w:pPr>
      <w:r>
        <w:drawing>
          <wp:inline>
            <wp:extent cx="5334000" cy="3081272"/>
            <wp:effectExtent b="0" l="0" r="0" t="0"/>
            <wp:docPr descr="Fig. 22.1. The launch-cost landscape. Left: below roughly 600 dollars per kilogram the all-in cost per satellite is dominated by hardware rather than launch. Right: the price-per-kilogram trajectory to low Earth orbit, from the Shuttle program average through reusable Falcon 9 to the realistic and aspirational Starship targets." title="" id="102" name="Picture"/>
            <a:graphic>
              <a:graphicData uri="http://schemas.openxmlformats.org/drawingml/2006/picture">
                <pic:pic>
                  <pic:nvPicPr>
                    <pic:cNvPr descr="figures/fig6_launch_cos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22.1. The launch-cost landscape. Left: below roughly 600 dollars per kilogram the all-in cost per satellite is dominated by hardware rather than launch. Right: the price-per-kilogram trajectory to low Earth orbit, from the Shuttle program average through reusable Falcon 9 to the realistic and aspirational Starship targets.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first result is the more important one and is easy to miss in a single</w:t>
      </w:r>
      <w:r>
        <w:t xml:space="preserve"> </w:t>
      </w:r>
      <w:r>
        <w:t xml:space="preserve">headline date: across the sampled assumptions, only about five percent of scenarios reach 200 dollars</w:t>
      </w:r>
      <w:r>
        <w:t xml:space="preserve"> </w:t>
      </w:r>
      <w:r>
        <w:t xml:space="preserve">per kilogram at all within the 2050 horizon, and roughly ninety-five percent never reach it. Parity at</w:t>
      </w:r>
      <w:r>
        <w:t xml:space="preserve"> </w:t>
      </w:r>
      <w:r>
        <w:t xml:space="preserve">that price is therefore not a near-certainty awaiting a date; under most defensible assumptions it does</w:t>
      </w:r>
      <w:r>
        <w:t xml:space="preserve"> </w:t>
      </w:r>
      <w:r>
        <w:t xml:space="preserve">not arrive within the horizon. Conditional on the minority of scenarios that do reach it, the median</w:t>
      </w:r>
      <w:r>
        <w:t xml:space="preserve"> </w:t>
      </w:r>
      <w:r>
        <w:t xml:space="preserve">parity year is near 2044 (Fig. 22.1), with a fifth percentile of about 2037 and essentially no</w:t>
      </w:r>
      <w:r>
        <w:t xml:space="preserve"> </w:t>
      </w:r>
      <w:r>
        <w:t xml:space="preserve">probability of reaching parity by 2035. Extending the horizon to 2060 raises the reaching fraction only</w:t>
      </w:r>
      <w:r>
        <w:t xml:space="preserve"> </w:t>
      </w:r>
      <w:r>
        <w:t xml:space="preserve">to about nine percent and moves the conditional median to the end of the 2040s, so the conclusion is not</w:t>
      </w:r>
      <w:r>
        <w:t xml:space="preserve"> </w:t>
      </w:r>
      <w:r>
        <w:t xml:space="preserve">an artifact of where the horizon is drawn. The vendor’s 2035 date sits beyond the optimistic edge of the</w:t>
      </w:r>
      <w:r>
        <w:t xml:space="preserve"> </w:t>
      </w:r>
      <w:r>
        <w:t xml:space="preserve">distribution and requires its specific aggressive anchors, full reusability at 200 tonnes and roughly</w:t>
      </w:r>
      <w:r>
        <w:t xml:space="preserve"> </w:t>
      </w:r>
      <w:r>
        <w:t xml:space="preserve">two million dollars marginal cost, sustained twenty-percent learning from a low starting price, and a</w:t>
      </w:r>
      <w:r>
        <w:t xml:space="preserve"> </w:t>
      </w:r>
      <w:r>
        <w:t xml:space="preserve">total launched mass far larger than the cadence ranges sampled here deliver.</w:t>
      </w:r>
    </w:p>
    <w:p>
      <w:pPr>
        <w:pStyle w:val="BodyText"/>
      </w:pPr>
      <w:r>
        <w:t xml:space="preserve">The prediction is therefore twofold: launch-cost parity at 200 dollars per kilogram is unlikely under</w:t>
      </w:r>
      <w:r>
        <w:t xml:space="preserve"> </w:t>
      </w:r>
      <w:r>
        <w:t xml:space="preserve">most assumptions rather than merely late, and where it does arrive it is more likely in the late 2030s</w:t>
      </w:r>
      <w:r>
        <w:t xml:space="preserve"> </w:t>
      </w:r>
      <w:r>
        <w:t xml:space="preserve">to mid-2040s than in 2035. Parity is in any case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358289"/>
            <wp:effectExtent b="0" l="0" r="0" t="0"/>
            <wp:docPr descr="Fig. 22.2, Launch-cost learning curve (Monte-Carlo) and the distribution of the cost-parity year. Most sampled scenarios never reach 200 dollars per kilogram within the horizon; conditional on those that do, the median is near 2044, later than the vendor’s 2035." title="" id="105" name="Picture"/>
            <a:graphic>
              <a:graphicData uri="http://schemas.openxmlformats.org/drawingml/2006/picture">
                <pic:pic>
                  <pic:nvPicPr>
                    <pic:cNvPr descr="figures_pred/fig_cost_parity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22.2, Launch-cost learning curve (Monte-Carlo) and the distribution of the cost-parity year. Most sampled scenarios never reach 200 dollars per kilogram within the horizon; conditional on those that do, the median is near 2044, later than the vendor’s 2035.</w:t>
      </w:r>
    </w:p>
    <w:bookmarkEnd w:id="107"/>
    <w:bookmarkStart w:id="108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part-vi-synthesis"/>
    <w:p>
      <w:pPr>
        <w:pStyle w:val="Heading1"/>
      </w:pPr>
      <w:r>
        <w:t xml:space="preserve">PART VI, SYNTHESIS</w:t>
      </w:r>
    </w:p>
    <w:bookmarkStart w:id="110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10"/>
    <w:bookmarkStart w:id="114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3473567"/>
            <wp:effectExtent b="0" l="0" r="0" t="0"/>
            <wp:docPr descr="Fig. 25.1, Systems-level risk matrix: cooling is solved; debris, disposal, and economics are the open items." title="" id="112" name="Picture"/>
            <a:graphic>
              <a:graphicData uri="http://schemas.openxmlformats.org/drawingml/2006/picture">
                <pic:pic>
                  <pic:nvPicPr>
                    <pic:cNvPr descr="figures/fig7_risk_matrix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6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6"/>
    <w:bookmarkStart w:id="117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7"/>
    <w:bookmarkStart w:id="118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rPr>
          <w:i/>
          <w:iCs/>
        </w:rPr>
        <w:t xml:space="preserve">Sources: the relative-motion (Clohessy-Wiltshire) equations and constellation geometry follow Curtis [16] and Vallado [17].</w:t>
      </w:r>
    </w:p>
    <w:p>
      <w:pPr>
        <w:pStyle w:val="BodyText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8"/>
    <w:bookmarkStart w:id="119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End w:id="120"/>
    <w:bookmarkStart w:id="135" w:name="back-matter"/>
    <w:p>
      <w:pPr>
        <w:pStyle w:val="Heading1"/>
      </w:pPr>
      <w:r>
        <w:t xml:space="preserve">Back matter</w:t>
      </w:r>
    </w:p>
    <w:bookmarkStart w:id="12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p>
      <w:pPr>
        <w:pStyle w:val="Compact"/>
        <w:numPr>
          <w:ilvl w:val="0"/>
          <w:numId w:val="1001"/>
        </w:numPr>
      </w:pPr>
      <w:r>
        <w:t xml:space="preserve">Curtis, H. D.</w:t>
      </w:r>
      <w:r>
        <w:t xml:space="preserve"> </w:t>
      </w:r>
      <w:r>
        <w:rPr>
          <w:i/>
          <w:iCs/>
        </w:rPr>
        <w:t xml:space="preserve">Orbital Mechanics for Engineering Students</w:t>
      </w:r>
      <w:r>
        <w:t xml:space="preserve">, 4th ed. Butterworth-Heinemann, 2020.</w:t>
      </w:r>
    </w:p>
    <w:p>
      <w:pPr>
        <w:pStyle w:val="Compact"/>
        <w:numPr>
          <w:ilvl w:val="0"/>
          <w:numId w:val="1001"/>
        </w:numPr>
      </w:pPr>
      <w:r>
        <w:t xml:space="preserve">Vallado, D. A.</w:t>
      </w:r>
      <w:r>
        <w:t xml:space="preserve"> </w:t>
      </w:r>
      <w:r>
        <w:rPr>
          <w:i/>
          <w:iCs/>
        </w:rPr>
        <w:t xml:space="preserve">Fundamentals of Astrodynamics and Applications</w:t>
      </w:r>
      <w:r>
        <w:t xml:space="preserve">, 4th ed. Microcosm Press, 2013.</w:t>
      </w:r>
    </w:p>
    <w:p>
      <w:pPr>
        <w:pStyle w:val="Compact"/>
        <w:numPr>
          <w:ilvl w:val="0"/>
          <w:numId w:val="1001"/>
        </w:numPr>
      </w:pPr>
      <w:r>
        <w:t xml:space="preserve">Wertz, J. R., Everett, D. F., Puschell, J. J. (eds.).</w:t>
      </w:r>
      <w:r>
        <w:t xml:space="preserve"> </w:t>
      </w:r>
      <w:r>
        <w:rPr>
          <w:i/>
          <w:iCs/>
        </w:rPr>
        <w:t xml:space="preserve">Space Mission Engineering: The New SMAD.</w:t>
      </w:r>
      <w:r>
        <w:t xml:space="preserve"> </w:t>
      </w:r>
      <w:r>
        <w:t xml:space="preserve">Microcosm Press, 2011.</w:t>
      </w:r>
    </w:p>
    <w:p>
      <w:pPr>
        <w:pStyle w:val="Compact"/>
        <w:numPr>
          <w:ilvl w:val="0"/>
          <w:numId w:val="1001"/>
        </w:numPr>
      </w:pPr>
      <w:r>
        <w:t xml:space="preserve">Larson, W. J., Wertz, J. R. (eds.).</w:t>
      </w:r>
      <w:r>
        <w:t xml:space="preserve"> </w:t>
      </w:r>
      <w:r>
        <w:rPr>
          <w:i/>
          <w:iCs/>
        </w:rPr>
        <w:t xml:space="preserve">Space Mission Analysis and Design</w:t>
      </w:r>
      <w:r>
        <w:t xml:space="preserve">, 3rd ed. Microcosm/Kluwer, 1999.</w:t>
      </w:r>
    </w:p>
    <w:p>
      <w:pPr>
        <w:pStyle w:val="Compact"/>
        <w:numPr>
          <w:ilvl w:val="0"/>
          <w:numId w:val="1001"/>
        </w:numPr>
      </w:pPr>
      <w:r>
        <w:t xml:space="preserve">Gilmore, D. G. (ed.).</w:t>
      </w:r>
      <w:r>
        <w:t xml:space="preserve"> </w:t>
      </w:r>
      <w:r>
        <w:rPr>
          <w:i/>
          <w:iCs/>
        </w:rPr>
        <w:t xml:space="preserve">Spacecraft Thermal Control Handbook, Volume I: Fundamental Technologies</w:t>
      </w:r>
      <w:r>
        <w:t xml:space="preserve">,</w:t>
      </w:r>
      <w:r>
        <w:t xml:space="preserve"> </w:t>
      </w:r>
      <w:r>
        <w:t xml:space="preserve">2nd ed. The Aerospace Press, 2002.</w:t>
      </w:r>
    </w:p>
    <w:p>
      <w:pPr>
        <w:pStyle w:val="Compact"/>
        <w:numPr>
          <w:ilvl w:val="0"/>
          <w:numId w:val="1001"/>
        </w:numPr>
      </w:pPr>
      <w:r>
        <w:t xml:space="preserve">Incropera, F. P., DeWitt, D. P., Bergman, T. L., Lavine, A. S.</w:t>
      </w:r>
      <w:r>
        <w:t xml:space="preserve"> </w:t>
      </w:r>
      <w:r>
        <w:rPr>
          <w:i/>
          <w:iCs/>
        </w:rPr>
        <w:t xml:space="preserve">Fundamentals of Heat and Mass</w:t>
      </w:r>
      <w:r>
        <w:rPr>
          <w:i/>
          <w:iCs/>
        </w:rPr>
        <w:t xml:space="preserve"> </w:t>
      </w:r>
      <w:r>
        <w:rPr>
          <w:i/>
          <w:iCs/>
        </w:rPr>
        <w:t xml:space="preserve">Transfer</w:t>
      </w:r>
      <w:r>
        <w:t xml:space="preserve">, 7th ed. Wiley, 2011.</w:t>
      </w:r>
    </w:p>
    <w:p>
      <w:pPr>
        <w:pStyle w:val="Compact"/>
        <w:numPr>
          <w:ilvl w:val="0"/>
          <w:numId w:val="1001"/>
        </w:numPr>
      </w:pPr>
      <w:r>
        <w:t xml:space="preserve">Tribble, A. C.</w:t>
      </w:r>
      <w:r>
        <w:t xml:space="preserve"> </w:t>
      </w:r>
      <w:r>
        <w:rPr>
          <w:i/>
          <w:iCs/>
        </w:rPr>
        <w:t xml:space="preserve">The Space Environment: Implications for Spacecraft Design</w:t>
      </w:r>
      <w:r>
        <w:t xml:space="preserve">, rev. ed. Princeton</w:t>
      </w:r>
      <w:r>
        <w:t xml:space="preserve"> </w:t>
      </w:r>
      <w:r>
        <w:t xml:space="preserve">University Press, 2003.</w:t>
      </w:r>
    </w:p>
    <w:p>
      <w:pPr>
        <w:pStyle w:val="Compact"/>
        <w:numPr>
          <w:ilvl w:val="0"/>
          <w:numId w:val="1001"/>
        </w:numPr>
      </w:pPr>
      <w:r>
        <w:t xml:space="preserve">Pisacane, V. L. (ed.).</w:t>
      </w:r>
      <w:r>
        <w:t xml:space="preserve"> </w:t>
      </w:r>
      <w:r>
        <w:rPr>
          <w:i/>
          <w:iCs/>
        </w:rPr>
        <w:t xml:space="preserve">The Space Environment and Its Effects on Space Systems</w:t>
      </w:r>
      <w:r>
        <w:t xml:space="preserve">, 2nd ed. AIAA</w:t>
      </w:r>
      <w:r>
        <w:t xml:space="preserve"> </w:t>
      </w:r>
      <w:r>
        <w:t xml:space="preserve">Education Series, 2016.</w:t>
      </w:r>
    </w:p>
    <w:p>
      <w:pPr>
        <w:pStyle w:val="Compact"/>
        <w:numPr>
          <w:ilvl w:val="0"/>
          <w:numId w:val="1001"/>
        </w:numPr>
      </w:pPr>
      <w:r>
        <w:t xml:space="preserve">Hastings, D., Garrett, H.</w:t>
      </w:r>
      <w:r>
        <w:t xml:space="preserve"> </w:t>
      </w:r>
      <w:r>
        <w:rPr>
          <w:i/>
          <w:iCs/>
        </w:rPr>
        <w:t xml:space="preserve">Spacecraft-Environment Interactions.</w:t>
      </w:r>
      <w:r>
        <w:t xml:space="preserve"> </w:t>
      </w:r>
      <w:r>
        <w:t xml:space="preserve">Cambridge University Press, 1996.</w:t>
      </w:r>
    </w:p>
    <w:p>
      <w:pPr>
        <w:pStyle w:val="Compact"/>
        <w:numPr>
          <w:ilvl w:val="0"/>
          <w:numId w:val="1001"/>
        </w:numPr>
      </w:pPr>
      <w:r>
        <w:t xml:space="preserve">Vette, J. I.</w:t>
      </w:r>
      <w:r>
        <w:t xml:space="preserve"> </w:t>
      </w:r>
      <w:r>
        <w:rPr>
          <w:i/>
          <w:iCs/>
        </w:rPr>
        <w:t xml:space="preserve">The AE-8 Trapped Electron Model Environment</w:t>
      </w:r>
      <w:r>
        <w:t xml:space="preserve"> </w:t>
      </w:r>
      <w:r>
        <w:t xml:space="preserve">(NSSDC/WDC-A-R&amp;S 91-24); Sawyer, D. M.,</w:t>
      </w:r>
      <w:r>
        <w:t xml:space="preserve"> </w:t>
      </w:r>
      <w:r>
        <w:t xml:space="preserve">Vette, J. I.</w:t>
      </w:r>
      <w:r>
        <w:t xml:space="preserve"> </w:t>
      </w:r>
      <w:r>
        <w:rPr>
          <w:i/>
          <w:iCs/>
        </w:rPr>
        <w:t xml:space="preserve">AP-8 Trapped Proton Environment</w:t>
      </w:r>
      <w:r>
        <w:t xml:space="preserve"> </w:t>
      </w:r>
      <w:r>
        <w:t xml:space="preserve">(NSSDC/WDC-A-R&amp;S 76-06). NASA GSFC.</w:t>
      </w:r>
    </w:p>
    <w:p>
      <w:pPr>
        <w:pStyle w:val="Compact"/>
        <w:numPr>
          <w:ilvl w:val="0"/>
          <w:numId w:val="1001"/>
        </w:numPr>
      </w:pPr>
      <w:r>
        <w:t xml:space="preserve">Ginet, G. P. et al. </w:t>
      </w:r>
      <w:r>
        <w:rPr>
          <w:i/>
          <w:iCs/>
        </w:rPr>
        <w:t xml:space="preserve">AE9, AP9 and SPM: New Models for Specifying the Trapped Energetic Particle</w:t>
      </w:r>
      <w:r>
        <w:rPr>
          <w:i/>
          <w:iCs/>
        </w:rPr>
        <w:t xml:space="preserve"> </w:t>
      </w:r>
      <w:r>
        <w:rPr>
          <w:i/>
          <w:iCs/>
        </w:rPr>
        <w:t xml:space="preserve">and Space Plasma Environment.</w:t>
      </w:r>
      <w:r>
        <w:t xml:space="preserve"> </w:t>
      </w:r>
      <w:r>
        <w:t xml:space="preserve">Space Science Reviews 179, 2013.</w:t>
      </w:r>
    </w:p>
    <w:p>
      <w:pPr>
        <w:pStyle w:val="Compact"/>
        <w:numPr>
          <w:ilvl w:val="0"/>
          <w:numId w:val="1001"/>
        </w:numPr>
      </w:pPr>
      <w:r>
        <w:t xml:space="preserve">Seltzer, S. M.</w:t>
      </w:r>
      <w:r>
        <w:t xml:space="preserve"> </w:t>
      </w:r>
      <w:r>
        <w:rPr>
          <w:i/>
          <w:iCs/>
        </w:rPr>
        <w:t xml:space="preserve">SHIELDOSE: A Computer Code for Space-Shielding Radiation Dose Calculations.</w:t>
      </w:r>
      <w:r>
        <w:t xml:space="preserve"> </w:t>
      </w:r>
      <w:r>
        <w:t xml:space="preserve">NBS Technical Note 1116, 1980.</w:t>
      </w:r>
    </w:p>
    <w:p>
      <w:pPr>
        <w:pStyle w:val="Compact"/>
        <w:numPr>
          <w:ilvl w:val="0"/>
          <w:numId w:val="1001"/>
        </w:numPr>
      </w:pPr>
      <w:r>
        <w:t xml:space="preserve">Kessler, D. J., Cour-Palais, B. G.</w:t>
      </w:r>
      <w:r>
        <w:t xml:space="preserve"> </w:t>
      </w:r>
      <w:r>
        <w:rPr>
          <w:i/>
          <w:iCs/>
        </w:rPr>
        <w:t xml:space="preserve">Collision Frequency of Artificial Satellites: The Creation</w:t>
      </w:r>
      <w:r>
        <w:rPr>
          <w:i/>
          <w:iCs/>
        </w:rPr>
        <w:t xml:space="preserve"> </w:t>
      </w:r>
      <w:r>
        <w:rPr>
          <w:i/>
          <w:iCs/>
        </w:rPr>
        <w:t xml:space="preserve">of a Debris Belt.</w:t>
      </w:r>
      <w:r>
        <w:t xml:space="preserve"> </w:t>
      </w:r>
      <w:r>
        <w:t xml:space="preserve">Journal of Geophysical Research 83(A6), 1978.</w:t>
      </w:r>
    </w:p>
    <w:p>
      <w:pPr>
        <w:pStyle w:val="Compact"/>
        <w:numPr>
          <w:ilvl w:val="0"/>
          <w:numId w:val="1001"/>
        </w:numPr>
      </w:pPr>
      <w:r>
        <w:t xml:space="preserve">Klinkrad, H.</w:t>
      </w:r>
      <w:r>
        <w:t xml:space="preserve"> </w:t>
      </w:r>
      <w:r>
        <w:rPr>
          <w:i/>
          <w:iCs/>
        </w:rPr>
        <w:t xml:space="preserve">Space Debris: Models and Risk Analysis.</w:t>
      </w:r>
      <w:r>
        <w:t xml:space="preserve"> </w:t>
      </w:r>
      <w:r>
        <w:t xml:space="preserve">Springer-Praxis, 2006.</w:t>
      </w:r>
    </w:p>
    <w:p>
      <w:pPr>
        <w:pStyle w:val="Compact"/>
        <w:numPr>
          <w:ilvl w:val="0"/>
          <w:numId w:val="1001"/>
        </w:numPr>
      </w:pPr>
      <w:r>
        <w:t xml:space="preserve">Hemmati, H. (ed.).</w:t>
      </w:r>
      <w:r>
        <w:t xml:space="preserve"> </w:t>
      </w:r>
      <w:r>
        <w:rPr>
          <w:i/>
          <w:iCs/>
        </w:rPr>
        <w:t xml:space="preserve">Deep Space Optical Communications.</w:t>
      </w:r>
      <w:r>
        <w:t xml:space="preserve"> </w:t>
      </w:r>
      <w:r>
        <w:t xml:space="preserve">JPL Deep-Space Communications and</w:t>
      </w:r>
      <w:r>
        <w:t xml:space="preserve"> </w:t>
      </w:r>
      <w:r>
        <w:t xml:space="preserve">Navigation Series, Wiley, 2006.</w:t>
      </w:r>
    </w:p>
    <w:p>
      <w:pPr>
        <w:pStyle w:val="Compact"/>
        <w:numPr>
          <w:ilvl w:val="0"/>
          <w:numId w:val="1001"/>
        </w:numPr>
      </w:pPr>
      <w:r>
        <w:t xml:space="preserve">Sutton, G. P., Biblarz, O.</w:t>
      </w:r>
      <w:r>
        <w:t xml:space="preserve"> </w:t>
      </w:r>
      <w:r>
        <w:rPr>
          <w:i/>
          <w:iCs/>
        </w:rPr>
        <w:t xml:space="preserve">Rocket Propulsion Elements</w:t>
      </w:r>
      <w:r>
        <w:t xml:space="preserve">, 9th ed. Wiley, 2017.</w:t>
      </w:r>
    </w:p>
    <w:p>
      <w:pPr>
        <w:pStyle w:val="Compact"/>
        <w:numPr>
          <w:ilvl w:val="0"/>
          <w:numId w:val="1001"/>
        </w:numPr>
      </w:pPr>
      <w:r>
        <w:t xml:space="preserve">Wertz, J. R. (ed.).</w:t>
      </w:r>
      <w:r>
        <w:t xml:space="preserve"> </w:t>
      </w:r>
      <w:r>
        <w:rPr>
          <w:i/>
          <w:iCs/>
        </w:rPr>
        <w:t xml:space="preserve">Spacecraft Attitude Determination and Control.</w:t>
      </w:r>
      <w:r>
        <w:t xml:space="preserve"> </w:t>
      </w:r>
      <w:r>
        <w:t xml:space="preserve">D. Reidel, 1978.</w:t>
      </w:r>
    </w:p>
    <w:p>
      <w:pPr>
        <w:pStyle w:val="Compact"/>
        <w:numPr>
          <w:ilvl w:val="0"/>
          <w:numId w:val="1001"/>
        </w:numPr>
      </w:pPr>
      <w:r>
        <w:t xml:space="preserve">Sidi, M. J.</w:t>
      </w:r>
      <w:r>
        <w:t xml:space="preserve"> </w:t>
      </w:r>
      <w:r>
        <w:rPr>
          <w:i/>
          <w:iCs/>
        </w:rPr>
        <w:t xml:space="preserve">Spacecraft Dynamics and Control: A Practical Engineering Approach.</w:t>
      </w:r>
      <w:r>
        <w:t xml:space="preserve"> </w:t>
      </w:r>
      <w:r>
        <w:t xml:space="preserve">Cambridge</w:t>
      </w:r>
      <w:r>
        <w:t xml:space="preserve"> </w:t>
      </w:r>
      <w:r>
        <w:t xml:space="preserve">University Press, 1997.</w:t>
      </w:r>
    </w:p>
    <w:p>
      <w:pPr>
        <w:pStyle w:val="Compact"/>
        <w:numPr>
          <w:ilvl w:val="0"/>
          <w:numId w:val="1001"/>
        </w:numPr>
      </w:pPr>
      <w:r>
        <w:t xml:space="preserve">ECSS.</w:t>
      </w:r>
      <w:r>
        <w:t xml:space="preserve"> </w:t>
      </w:r>
      <w:r>
        <w:rPr>
          <w:i/>
          <w:iCs/>
        </w:rPr>
        <w:t xml:space="preserve">Space Engineering: Thermal Control General Requirements</w:t>
      </w:r>
      <w:r>
        <w:t xml:space="preserve"> </w:t>
      </w:r>
      <w:r>
        <w:t xml:space="preserve">(ECSS-E-ST-31C) and</w:t>
      </w:r>
      <w: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</w:t>
      </w:r>
      <w:r>
        <w:t xml:space="preserve"> </w:t>
      </w:r>
      <w:r>
        <w:t xml:space="preserve">(ECSS-E-ST-10-04C). European Cooperation for Space Standardization.</w:t>
      </w:r>
    </w:p>
    <w:p>
      <w:pPr>
        <w:pStyle w:val="Compact"/>
        <w:numPr>
          <w:ilvl w:val="0"/>
          <w:numId w:val="1001"/>
        </w:numPr>
      </w:pPr>
      <w:r>
        <w:t xml:space="preserve">O’Hanlon, M. et al.; SpaceX published launch-manifest and reusability data; FAA commercial-space</w:t>
      </w:r>
      <w:r>
        <w:t xml:space="preserve"> </w:t>
      </w:r>
      <w:r>
        <w:t xml:space="preserve">launch records, for the launch-cadence and cost-trajectory inputs of Chapter 22.</w:t>
      </w:r>
    </w:p>
    <w:bookmarkEnd w:id="121"/>
    <w:bookmarkStart w:id="122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22"/>
    <w:bookmarkStart w:id="123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23"/>
    <w:bookmarkStart w:id="124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4"/>
    <w:bookmarkStart w:id="125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5"/>
    <w:bookmarkStart w:id="134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6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6"/>
    <w:bookmarkStart w:id="127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7"/>
    <w:bookmarkStart w:id="128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8"/>
    <w:bookmarkStart w:id="129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9"/>
    <w:bookmarkStart w:id="130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30"/>
    <w:bookmarkStart w:id="131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31"/>
    <w:bookmarkStart w:id="132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32"/>
    <w:bookmarkStart w:id="133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64" Target="media/rId64.png" /><Relationship Type="http://schemas.openxmlformats.org/officeDocument/2006/relationships/image" Id="rId101" Target="media/rId101.png" /><Relationship Type="http://schemas.openxmlformats.org/officeDocument/2006/relationships/image" Id="rId111" Target="media/rId111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57" Target="media/rId57.png" /><Relationship Type="http://schemas.openxmlformats.org/officeDocument/2006/relationships/image" Id="rId32" Target="media/rId32.png" /><Relationship Type="http://schemas.openxmlformats.org/officeDocument/2006/relationships/image" Id="rId94" Target="media/rId94.png" /><Relationship Type="http://schemas.openxmlformats.org/officeDocument/2006/relationships/image" Id="rId52" Target="media/rId52.png" /><Relationship Type="http://schemas.openxmlformats.org/officeDocument/2006/relationships/image" Id="rId104" Target="media/rId104.png" /><Relationship Type="http://schemas.openxmlformats.org/officeDocument/2006/relationships/image" Id="rId60" Target="media/rId60.png" /><Relationship Type="http://schemas.openxmlformats.org/officeDocument/2006/relationships/image" Id="rId97" Target="media/rId97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72" Target="media/rId72.png" /><Relationship Type="http://schemas.openxmlformats.org/officeDocument/2006/relationships/image" Id="rId48" Target="media/rId48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2026-06-19T14:28:29Z</dcterms:created>
  <dcterms:modified xsi:type="dcterms:W3CDTF">2026-06-19T14:28:29Z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