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42.png" ContentType="image/png"/>
  <Override PartName="/word/media/rId84.png" ContentType="image/png"/>
  <Override PartName="/word/media/rId87.png" ContentType="image/png"/>
  <Override PartName="/word/media/rId62.png" ContentType="image/png"/>
  <Override PartName="/word/media/rId106.png" ContentType="image/png"/>
  <Override PartName="/word/media/rId22.png" ContentType="image/png"/>
  <Override PartName="/word/media/rId39.png" ContentType="image/png"/>
  <Override PartName="/word/media/rId36.png" ContentType="image/png"/>
  <Override PartName="/word/media/rId55.png" ContentType="image/png"/>
  <Override PartName="/word/media/rId30.png" ContentType="image/png"/>
  <Override PartName="/word/media/rId92.png" ContentType="image/png"/>
  <Override PartName="/word/media/rId50.png" ContentType="image/png"/>
  <Override PartName="/word/media/rId99.png" ContentType="image/png"/>
  <Override PartName="/word/media/rId58.png" ContentType="image/png"/>
  <Override PartName="/word/media/rId95.png" ContentType="image/png"/>
  <Override PartName="/word/media/rId75.png" ContentType="image/png"/>
  <Override PartName="/word/media/rId80.png" ContentType="image/png"/>
  <Override PartName="/word/media/rId70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part-ii-the-orbital-environment"/>
    <w:p>
      <w:pPr>
        <w:pStyle w:val="Heading1"/>
      </w:pPr>
      <w:r>
        <w:t xml:space="preserve">PART II, THE ORBITAL ENVIRONMENT</w:t>
      </w:r>
    </w:p>
    <w:bookmarkStart w:id="20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0"/>
    <w:bookmarkStart w:id="21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(5.2)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mission. The dawn-dusk variant orients the orbital plane near Earth’s</w:t>
      </w:r>
      <w:r>
        <w:t xml:space="preserve"> </w:t>
      </w:r>
      <w:r>
        <w:t xml:space="preserve">terminator, which (Chapter 6) yields nearly continuous sunlight and minimal thermal cycling, a</w:t>
      </w:r>
      <w:r>
        <w:t xml:space="preserve"> </w:t>
      </w:r>
      <w:r>
        <w:t xml:space="preserve">decisive advantage for a high-power, thermally sensitive payload.</w:t>
      </w:r>
    </w:p>
    <w:bookmarkEnd w:id="21"/>
    <w:bookmarkStart w:id="25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A dawn-dusk sun-synchronous orbit holds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near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for most of the year, so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&gt;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illumination exceeds ninety-five percent, the battery need is minimal (Chapter 11), and the</w:t>
      </w:r>
      <w:r>
        <w:t xml:space="preserve"> </w:t>
      </w:r>
      <w:r>
        <w:t xml:space="preserve">thermal environment is nearly steady, justifying the quasi-steady thermal treatment of Chapter 10.</w:t>
      </w:r>
      <w:r>
        <w:t xml:space="preserve"> </w:t>
      </w:r>
      <w:r>
        <w:t xml:space="preserve">This is the single most favorable environmental choice available to the architecture.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3" name="Picture"/>
            <a:graphic>
              <a:graphicData uri="http://schemas.openxmlformats.org/drawingml/2006/picture">
                <pic:pic>
                  <pic:nvPicPr>
                    <pic:cNvPr descr="figures2/figA1_eclip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5"/>
    <w:bookmarkStart w:id="29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7" name="Picture"/>
            <a:graphic>
              <a:graphicData uri="http://schemas.openxmlformats.org/drawingml/2006/picture">
                <pic:pic>
                  <pic:nvPicPr>
                    <pic:cNvPr descr="figures/fig1_orbital_deca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29"/>
    <w:bookmarkStart w:id="33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1" name="Picture"/>
            <a:graphic>
              <a:graphicData uri="http://schemas.openxmlformats.org/drawingml/2006/picture">
                <pic:pic>
                  <pic:nvPicPr>
                    <pic:cNvPr descr="figures2/figA5_dos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3"/>
    <w:bookmarkStart w:id="34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74" w:name="part-iii-spacecraft-subsystems"/>
    <w:p>
      <w:pPr>
        <w:pStyle w:val="Heading1"/>
      </w:pPr>
      <w:r>
        <w:t xml:space="preserve">PART III, SPACECRAFT SUBSYSTEMS</w:t>
      </w:r>
    </w:p>
    <w:bookmarkStart w:id="45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7" name="Picture"/>
            <a:graphic>
              <a:graphicData uri="http://schemas.openxmlformats.org/drawingml/2006/picture">
                <pic:pic>
                  <pic:nvPicPr>
                    <pic:cNvPr descr="figures2/figA3_radiato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0" name="Picture"/>
            <a:graphic>
              <a:graphicData uri="http://schemas.openxmlformats.org/drawingml/2006/picture">
                <pic:pic>
                  <pic:nvPicPr>
                    <pic:cNvPr descr="figures2/figA2_load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3" name="Picture"/>
            <a:graphic>
              <a:graphicData uri="http://schemas.openxmlformats.org/drawingml/2006/picture">
                <pic:pic>
                  <pic:nvPicPr>
                    <pic:cNvPr descr="figures/fig2_thermal_wal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5"/>
    <w:bookmarkStart w:id="49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7" name="Picture"/>
            <a:graphic>
              <a:graphicData uri="http://schemas.openxmlformats.org/drawingml/2006/picture">
                <pic:pic>
                  <pic:nvPicPr>
                    <pic:cNvPr descr="systems_figs/fig_pow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49"/>
    <w:bookmarkStart w:id="53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1" name="Picture"/>
            <a:graphic>
              <a:graphicData uri="http://schemas.openxmlformats.org/drawingml/2006/picture">
                <pic:pic>
                  <pic:nvPicPr>
                    <pic:cNvPr descr="figures2/figA8_mas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3"/>
    <w:bookmarkStart w:id="54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4"/>
    <w:bookmarkStart w:id="61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6" name="Picture"/>
            <a:graphic>
              <a:graphicData uri="http://schemas.openxmlformats.org/drawingml/2006/picture">
                <pic:pic>
                  <pic:nvPicPr>
                    <pic:cNvPr descr="figures2/figA4_lin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59" name="Picture"/>
            <a:graphic>
              <a:graphicData uri="http://schemas.openxmlformats.org/drawingml/2006/picture">
                <pic:pic>
                  <pic:nvPicPr>
                    <pic:cNvPr descr="systems_figs/fig_comm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1"/>
    <w:bookmarkStart w:id="65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3" name="Picture"/>
            <a:graphic>
              <a:graphicData uri="http://schemas.openxmlformats.org/drawingml/2006/picture">
                <pic:pic>
                  <pic:nvPicPr>
                    <pic:cNvPr descr="figures/fig5_deltav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5"/>
    <w:bookmarkStart w:id="69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In the flat region of the bathtub curve, failures are a constant-hazard</w:t>
      </w:r>
      <w:r>
        <w:t xml:space="preserve"> </w:t>
      </w:r>
      <w:r>
        <w:t xml:space="preserve">Poisson process, so the probability that a unit survives to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p>
      </m:oMath>
      <w:r>
        <w:t xml:space="preserve">.</w:t>
      </w:r>
      <w:r>
        <w:t xml:space="preserve"> </w:t>
      </w:r>
      <w:r>
        <w:t xml:space="preserve">A bus with a mean time between 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:</w:t>
      </w:r>
      <w:r>
        <w:t xml:space="preserve"> </w:t>
      </w:r>
      <w:r>
        <w:t xml:space="preserve">fewer than half survive un-aided, so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If a system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survive, each</w:t>
      </w:r>
      <w:r>
        <w:t xml:space="preserve"> </w:t>
      </w:r>
      <w:r>
        <w:t xml:space="preserve">with reliability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i</m:t>
                    </m:r>
                  </m:den>
                </m:f>
              </m:e>
            </m:d>
          </m:e>
        </m:nary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 This sizes</w:t>
      </w:r>
      <w:r>
        <w:t xml:space="preserve"> </w:t>
      </w:r>
      <w:r>
        <w:t xml:space="preserve">both chip-level redundancy within a satellite and satellite-level over-provisioning within a cluster.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</w:t>
      </w:r>
      <w:r>
        <w:t xml:space="preserve"> </w:t>
      </w:r>
      <w:r>
        <w:t xml:space="preserve">available, 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Operational constellations sustain capacity by continuous replenishment at a rate near the inverse</w:t>
      </w:r>
      <w:r>
        <w:t xml:space="preserve"> </w:t>
      </w:r>
      <w:r>
        <w:t xml:space="preserve">of the design life, about twenty percent per year for a five-year life. The associated replenishment</w:t>
      </w:r>
      <w:r>
        <w:t xml:space="preserve"> </w:t>
      </w:r>
      <w:r>
        <w:t xml:space="preserve">cost is a major and recurring operating expense, carried explicitly in the economics of Chapter 21.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7" name="Picture"/>
            <a:graphic>
              <a:graphicData uri="http://schemas.openxmlformats.org/drawingml/2006/picture">
                <pic:pic>
                  <pic:nvPicPr>
                    <pic:cNvPr descr="systems_figs/fig_reliability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69"/>
    <w:bookmarkStart w:id="73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1" name="Picture"/>
            <a:graphic>
              <a:graphicData uri="http://schemas.openxmlformats.org/drawingml/2006/picture">
                <pic:pic>
                  <pic:nvPicPr>
                    <pic:cNvPr descr="systems_figs/fig_new_subsystem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1" w:name="Xe5ea88703363ae012ea2f87a0aad981517e6b12"/>
    <w:p>
      <w:pPr>
        <w:pStyle w:val="Heading1"/>
      </w:pPr>
      <w:r>
        <w:t xml:space="preserve">PART IV, INTEGRATION, SIMULATION, AND RESULTS</w:t>
      </w:r>
    </w:p>
    <w:bookmarkStart w:id="78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6" name="Picture"/>
            <a:graphic>
              <a:graphicData uri="http://schemas.openxmlformats.org/drawingml/2006/picture">
                <pic:pic>
                  <pic:nvPicPr>
                    <pic:cNvPr descr="systems_figs/fig_mass_budge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78"/>
    <w:bookmarkStart w:id="79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79"/>
    <w:bookmarkStart w:id="83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t xml:space="preserve">A point design is not credible without an uncertainty band. The model propagates the dominant input</w:t>
      </w:r>
      <w:r>
        <w:t xml:space="preserve"> </w:t>
      </w:r>
      <w:r>
        <w:t xml:space="preserve">uncertainties by Monte-Carlo: the solar-activity scenario (which moves atmospheric density by up to</w:t>
      </w:r>
      <w:r>
        <w:t xml:space="preserve"> </w:t>
      </w:r>
      <w:r>
        <w:t xml:space="preserve">a factor of one hundred), the debris-flux band, the model-FLOPs utilization, and the undisclosed</w:t>
      </w:r>
      <w:r>
        <w:t xml:space="preserve"> </w:t>
      </w:r>
      <w:r>
        <w:t xml:space="preserve">chip power. The resulting distributions of natural lifetime, catastrophic-impact probability, total</w:t>
      </w:r>
      <w:r>
        <w:t xml:space="preserve"> </w:t>
      </w:r>
      <w:r>
        <w:t xml:space="preserve">Δv, and delivered compute are reported as fifth, fiftieth, and ninety-fifth percentiles rather than</w:t>
      </w:r>
      <w:r>
        <w:t xml:space="preserve"> </w:t>
      </w:r>
      <w:r>
        <w:t xml:space="preserve">as single numbers (Fig. 19.1).</w:t>
      </w:r>
    </w:p>
    <w:p>
      <w:pPr>
        <w:pStyle w:val="BodyText"/>
      </w:pPr>
      <w:r>
        <w:t xml:space="preserve">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1" name="Picture"/>
            <a:graphic>
              <a:graphicData uri="http://schemas.openxmlformats.org/drawingml/2006/picture">
                <pic:pic>
                  <pic:nvPicPr>
                    <pic:cNvPr descr="systems_figs/fig_montecarl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3"/>
    <w:bookmarkStart w:id="90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5" name="Picture"/>
            <a:graphic>
              <a:graphicData uri="http://schemas.openxmlformats.org/drawingml/2006/picture">
                <pic:pic>
                  <pic:nvPicPr>
                    <pic:cNvPr descr="figures/fig3_debris_risk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88" name="Picture"/>
            <a:graphic>
              <a:graphicData uri="http://schemas.openxmlformats.org/drawingml/2006/picture">
                <pic:pic>
                  <pic:nvPicPr>
                    <pic:cNvPr descr="figures/fig4_radia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4" w:name="part-v-economics-and-predictions"/>
    <w:p>
      <w:pPr>
        <w:pStyle w:val="Heading1"/>
      </w:pPr>
      <w:r>
        <w:t xml:space="preserve">PART V, ECONOMICS AND PREDICTIONS</w:t>
      </w:r>
    </w:p>
    <w:bookmarkStart w:id="98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3" name="Picture"/>
            <a:graphic>
              <a:graphicData uri="http://schemas.openxmlformats.org/drawingml/2006/picture">
                <pic:pic>
                  <pic:nvPicPr>
                    <pic:cNvPr descr="figures2/figA7_lco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6" name="Picture"/>
            <a:graphic>
              <a:graphicData uri="http://schemas.openxmlformats.org/drawingml/2006/picture">
                <pic:pic>
                  <pic:nvPicPr>
                    <pic:cNvPr descr="systems_figs/fig_compu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98"/>
    <w:bookmarkStart w:id="102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result (Fig. 22.1) places the median parity year near 2044, with a fifth</w:t>
      </w:r>
      <w:r>
        <w:t xml:space="preserve"> </w:t>
      </w:r>
      <w:r>
        <w:t xml:space="preserve">percentile of about 2037 and essentially no probability of reaching parity by 2035. The vendor’s</w:t>
      </w:r>
      <w:r>
        <w:t xml:space="preserve"> </w:t>
      </w:r>
      <w:r>
        <w:t xml:space="preserve">2035 date sits at the optimistic edge of the distribution and requires its specific aggressive</w:t>
      </w:r>
      <w:r>
        <w:t xml:space="preserve"> </w:t>
      </w:r>
      <w:r>
        <w:t xml:space="preserve">anchors, full reusability at 200 tonnes and roughly two million dollars marginal cost, sustained</w:t>
      </w:r>
      <w:r>
        <w:t xml:space="preserve"> </w:t>
      </w:r>
      <w:r>
        <w:t xml:space="preserve">twenty-percent learning from a low starting price.</w:t>
      </w:r>
    </w:p>
    <w:p>
      <w:pPr>
        <w:pStyle w:val="BodyText"/>
      </w:pPr>
      <w:r>
        <w:t xml:space="preserve">The prediction is that launch-cost parity is more likely to arrive in the late</w:t>
      </w:r>
      <w:r>
        <w:t xml:space="preserve"> </w:t>
      </w:r>
      <w:r>
        <w:t xml:space="preserve">2030s to mid-2040s than in 2035, and that it is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, Launch-cost learning curve (Monte-Carlo) and the distribution of the cost-parity year; median near 2044, later than the vendor’s 2035." title="" id="100" name="Picture"/>
            <a:graphic>
              <a:graphicData uri="http://schemas.openxmlformats.org/drawingml/2006/picture">
                <pic:pic>
                  <pic:nvPicPr>
                    <pic:cNvPr descr="figures_pred/fig_cost_parity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22.1, Launch-cost learning curve (Monte-Carlo) and the distribution of the cost-parity year; median near 2044, later than the vendor’s 2035.</w:t>
      </w:r>
    </w:p>
    <w:bookmarkEnd w:id="102"/>
    <w:bookmarkStart w:id="103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0" w:name="part-vi-synthesis"/>
    <w:p>
      <w:pPr>
        <w:pStyle w:val="Heading1"/>
      </w:pPr>
      <w:r>
        <w:t xml:space="preserve">PART VI, SYNTHESIS</w:t>
      </w:r>
    </w:p>
    <w:bookmarkStart w:id="105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05"/>
    <w:bookmarkStart w:id="109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07" name="Picture"/>
            <a:graphic>
              <a:graphicData uri="http://schemas.openxmlformats.org/drawingml/2006/picture">
                <pic:pic>
                  <pic:nvPicPr>
                    <pic:cNvPr descr="figures/fig7_risk_matrix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5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1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1"/>
    <w:bookmarkStart w:id="112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2"/>
    <w:bookmarkStart w:id="113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3"/>
    <w:bookmarkStart w:id="114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30" w:name="back-matter"/>
    <w:p>
      <w:pPr>
        <w:pStyle w:val="Heading1"/>
      </w:pPr>
      <w:r>
        <w:t xml:space="preserve">Back matter</w:t>
      </w:r>
    </w:p>
    <w:bookmarkStart w:id="1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bookmarkEnd w:id="116"/>
    <w:bookmarkStart w:id="117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17"/>
    <w:bookmarkStart w:id="118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18"/>
    <w:bookmarkStart w:id="119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19"/>
    <w:bookmarkStart w:id="120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0"/>
    <w:bookmarkStart w:id="129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1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1"/>
    <w:bookmarkStart w:id="122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2"/>
    <w:bookmarkStart w:id="123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3"/>
    <w:bookmarkStart w:id="124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4"/>
    <w:bookmarkStart w:id="125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25"/>
    <w:bookmarkStart w:id="126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26"/>
    <w:bookmarkStart w:id="127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27"/>
    <w:bookmarkStart w:id="128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42" Target="media/rId42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62" Target="media/rId62.png" /><Relationship Type="http://schemas.openxmlformats.org/officeDocument/2006/relationships/image" Id="rId106" Target="media/rId106.png" /><Relationship Type="http://schemas.openxmlformats.org/officeDocument/2006/relationships/image" Id="rId22" Target="media/rId22.pn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55" Target="media/rId55.png" /><Relationship Type="http://schemas.openxmlformats.org/officeDocument/2006/relationships/image" Id="rId30" Target="media/rId30.png" /><Relationship Type="http://schemas.openxmlformats.org/officeDocument/2006/relationships/image" Id="rId92" Target="media/rId92.png" /><Relationship Type="http://schemas.openxmlformats.org/officeDocument/2006/relationships/image" Id="rId50" Target="media/rId50.png" /><Relationship Type="http://schemas.openxmlformats.org/officeDocument/2006/relationships/image" Id="rId99" Target="media/rId99.png" /><Relationship Type="http://schemas.openxmlformats.org/officeDocument/2006/relationships/image" Id="rId58" Target="media/rId58.png" /><Relationship Type="http://schemas.openxmlformats.org/officeDocument/2006/relationships/image" Id="rId95" Target="media/rId95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70" Target="media/rId70.png" /><Relationship Type="http://schemas.openxmlformats.org/officeDocument/2006/relationships/image" Id="rId46" Target="media/rId46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2026-06-18T16:27:17Z</dcterms:created>
  <dcterms:modified xsi:type="dcterms:W3CDTF">2026-06-18T16:27:17Z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