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43.png" ContentType="image/png"/>
  <Override PartName="/word/media/rId85.png" ContentType="image/png"/>
  <Override PartName="/word/media/rId88.png" ContentType="image/png"/>
  <Override PartName="/word/media/rId63.png" ContentType="image/png"/>
  <Override PartName="/word/media/rId107.png" ContentType="image/png"/>
  <Override PartName="/word/media/rId23.png" ContentType="image/png"/>
  <Override PartName="/word/media/rId40.png" ContentType="image/png"/>
  <Override PartName="/word/media/rId37.png" ContentType="image/png"/>
  <Override PartName="/word/media/rId56.png" ContentType="image/png"/>
  <Override PartName="/word/media/rId31.png" ContentType="image/png"/>
  <Override PartName="/word/media/rId93.png" ContentType="image/png"/>
  <Override PartName="/word/media/rId51.png" ContentType="image/png"/>
  <Override PartName="/word/media/rId100.png" ContentType="image/png"/>
  <Override PartName="/word/media/rId59.png" ContentType="image/png"/>
  <Override PartName="/word/media/rId96.png" ContentType="image/png"/>
  <Override PartName="/word/media/rId76.png" ContentType="image/png"/>
  <Override PartName="/word/media/rId81.png" ContentType="image/png"/>
  <Override PartName="/word/media/rId71.png" ContentType="image/png"/>
  <Override PartName="/word/media/rId47.png" ContentType="image/png"/>
  <Override PartName="/word/media/rId6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Space-Based AI Data Centers: Physics, Mathematics, Simulation, and Economics</w:t>
      </w:r>
    </w:p>
    <w:p>
      <w:pPr>
        <w:pStyle w:val="Author"/>
      </w:pPr>
      <w:r>
        <w:t xml:space="preserve">Samarjith Biswas, PhD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space-based-ai-data-centers"/>
    <w:p>
      <w:pPr>
        <w:pStyle w:val="Heading1"/>
      </w:pPr>
      <w:r>
        <w:t xml:space="preserve">Space-Based AI Data Centers</w:t>
      </w:r>
    </w:p>
    <w:bookmarkEnd w:id="9"/>
    <w:bookmarkStart w:id="15" w:name="X28b2bf3b339e81b4a97f7607c71cb41c89883dc"/>
    <w:p>
      <w:pPr>
        <w:pStyle w:val="Heading1"/>
      </w:pPr>
      <w:r>
        <w:t xml:space="preserve">Physics, Mathematics, Simulation, and Economics of an Orbital Compute Constellation</w:t>
      </w:r>
    </w:p>
    <w:bookmarkStart w:id="10" w:name="X0fca302d1f2b914d4f84859951de71781469df3"/>
    <w:p>
      <w:pPr>
        <w:pStyle w:val="Heading3"/>
      </w:pPr>
      <w:r>
        <w:t xml:space="preserve">An engineering analysis of a space-based AI compute constellation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Samarjith Biswas, PhD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  <w:r>
        <w:t xml:space="preserve"> </w:t>
      </w:r>
      <w:r>
        <w:rPr>
          <w:b/>
          <w:bCs/>
        </w:rPr>
        <w:t xml:space="preserve">Reference architecture:</w:t>
      </w:r>
      <w:r>
        <w:t xml:space="preserve"> </w:t>
      </w:r>
      <w:r>
        <w:t xml:space="preserve">Google Project Suncatcher (arXiv:2511.19468)</w:t>
      </w:r>
      <w:r>
        <w:t xml:space="preserve"> </w:t>
      </w:r>
      <w:r>
        <w:rPr>
          <w:b/>
          <w:bCs/>
        </w:rPr>
        <w:t xml:space="preserve">Companion code:</w:t>
      </w:r>
      <w:r>
        <w:t xml:space="preserve"> </w:t>
      </w:r>
      <w:r>
        <w:t xml:space="preserve">github.com/Samarjithbiswas/space-based-ai-datacenter (20-module model, 118 tests)</w:t>
      </w:r>
    </w:p>
    <w:p>
      <w:r>
        <w:pict>
          <v:rect style="width:0;height:1.5pt" o:hralign="center" o:hrstd="t" o:hr="t"/>
        </w:pict>
      </w:r>
    </w:p>
    <w:bookmarkEnd w:id="10"/>
    <w:bookmarkStart w:id="11" w:name="abstract"/>
    <w:p>
      <w:pPr>
        <w:pStyle w:val="Heading3"/>
      </w:pPr>
      <w:r>
        <w:t xml:space="preserve">Abstract</w:t>
      </w:r>
    </w:p>
    <w:p>
      <w:pPr>
        <w:pStyle w:val="FirstParagraph"/>
      </w:pPr>
      <w:r>
        <w:t xml:space="preserve">Space-based artificial-intelligence computing moved from concept to flight demonstration in</w:t>
      </w:r>
      <w:r>
        <w:t xml:space="preserve"> </w:t>
      </w:r>
      <w:r>
        <w:t xml:space="preserve">2025-2026. This document derives, from first</w:t>
      </w:r>
      <w:r>
        <w:t xml:space="preserve"> </w:t>
      </w:r>
      <w:r>
        <w:t xml:space="preserve">principles, the complete physical and economic model of an orbital AI data center, implements</w:t>
      </w:r>
      <w:r>
        <w:t xml:space="preserve"> </w:t>
      </w:r>
      <w:r>
        <w:t xml:space="preserve">every model in open and validated code, and reports the results, sensitivities, and forecasts.</w:t>
      </w:r>
      <w:r>
        <w:t xml:space="preserve"> </w:t>
      </w:r>
      <w:r>
        <w:t xml:space="preserve">It spans seventeen subsystems, orbital mechanics, the neutral atmosphere and orbital decay, the</w:t>
      </w:r>
      <w:r>
        <w:t xml:space="preserve"> </w:t>
      </w:r>
      <w:r>
        <w:t xml:space="preserve">ionizing-radiation and orbital-debris environments, thermal control, electrical power, structures,</w:t>
      </w:r>
      <w:r>
        <w:t xml:space="preserve"> </w:t>
      </w:r>
      <w:r>
        <w:t xml:space="preserve">attitude control and optical pointing, inter-satellite and ground communications, propulsion and</w:t>
      </w:r>
      <w:r>
        <w:t xml:space="preserve"> </w:t>
      </w:r>
      <w:r>
        <w:t xml:space="preserve">disposal, reliability, compute and workload, and techno-economics, and closes them into one</w:t>
      </w:r>
      <w:r>
        <w:t xml:space="preserve"> </w:t>
      </w:r>
      <w:r>
        <w:t xml:space="preserve">self-consistent design point and constellation. Each chapter presents the governing equations with</w:t>
      </w:r>
      <w:r>
        <w:t xml:space="preserve"> </w:t>
      </w:r>
      <w:r>
        <w:t xml:space="preserve">their derivations and worked numerical examples, the simulation that produces the results, and a</w:t>
      </w:r>
      <w:r>
        <w:t xml:space="preserve"> </w:t>
      </w:r>
      <w:r>
        <w:t xml:space="preserve">discussion of what the result means. The central conclusions are that radiative cooling is the</w:t>
      </w:r>
      <w:r>
        <w:t xml:space="preserve"> </w:t>
      </w:r>
      <w:r>
        <w:t xml:space="preserve">solved part of the problem and is now flight-proven; that the binding, unsolved constraints are</w:t>
      </w:r>
      <w:r>
        <w:t xml:space="preserve"> </w:t>
      </w:r>
      <w:r>
        <w:t xml:space="preserve">orbital-debris survivability in a tight formation, credible end-of-life disposal, and economics;</w:t>
      </w:r>
      <w:r>
        <w:t xml:space="preserve"> </w:t>
      </w:r>
      <w:r>
        <w:t xml:space="preserve">and that the launch-cost parity which underwrites the business case is later and less certain than</w:t>
      </w:r>
      <w:r>
        <w:t xml:space="preserve"> </w:t>
      </w:r>
      <w:r>
        <w:t xml:space="preserve">commonly advertised. Every load-bearing fact is cited to a primary source, every forward-looking</w:t>
      </w:r>
      <w:r>
        <w:t xml:space="preserve"> </w:t>
      </w:r>
      <w:r>
        <w:t xml:space="preserve">number is flagged as a projection, and every figure and number is generated by the accompanying open-source model.</w:t>
      </w:r>
    </w:p>
    <w:p>
      <w:r>
        <w:pict>
          <v:rect style="width:0;height:1.5pt" o:hralign="center" o:hrstd="t" o:hr="t"/>
        </w:pict>
      </w:r>
    </w:p>
    <w:bookmarkEnd w:id="11"/>
    <w:bookmarkStart w:id="12" w:name="table-of-contents"/>
    <w:p>
      <w:pPr>
        <w:pStyle w:val="Heading2"/>
      </w:pPr>
      <w:r>
        <w:t xml:space="preserve">Table of contents</w:t>
      </w:r>
    </w:p>
    <w:p>
      <w:pPr>
        <w:pStyle w:val="FirstParagraph"/>
      </w:pPr>
      <w:r>
        <w:rPr>
          <w:b/>
          <w:bCs/>
        </w:rPr>
        <w:t xml:space="preserve">Front matter</w:t>
      </w:r>
      <w:r>
        <w:t xml:space="preserve">, Abstract · Nomenclature · Physical constants</w:t>
      </w:r>
    </w:p>
    <w:p>
      <w:pPr>
        <w:pStyle w:val="BodyText"/>
      </w:pPr>
      <w:r>
        <w:rPr>
          <w:b/>
          <w:bCs/>
        </w:rPr>
        <w:t xml:space="preserve">Part I, Introduction and context</w:t>
      </w:r>
      <w:r>
        <w:t xml:space="preserve"> </w:t>
      </w:r>
      <w:r>
        <w:t xml:space="preserve">1. Introduction and motivation</w:t>
      </w:r>
      <w:r>
        <w:t xml:space="preserve"> </w:t>
      </w:r>
      <w:r>
        <w:t xml:space="preserve">2. The state of the art (2025-2026)</w:t>
      </w:r>
      <w:r>
        <w:t xml:space="preserve"> </w:t>
      </w:r>
      <w:r>
        <w:t xml:space="preserve">3. Reference architecture and scope</w:t>
      </w:r>
      <w:r>
        <w:t xml:space="preserve"> </w:t>
      </w:r>
      <w:r>
        <w:t xml:space="preserve">3A. Design methodology, margins, and readiness</w:t>
      </w:r>
    </w:p>
    <w:p>
      <w:pPr>
        <w:pStyle w:val="BodyText"/>
      </w:pPr>
      <w:r>
        <w:rPr>
          <w:b/>
          <w:bCs/>
        </w:rPr>
        <w:t xml:space="preserve">Part II, The orbital environment</w:t>
      </w:r>
      <w:r>
        <w:t xml:space="preserve"> </w:t>
      </w:r>
      <w:r>
        <w:t xml:space="preserve">4. Orbital mechanics of a circular orbit</w:t>
      </w:r>
      <w:r>
        <w:t xml:space="preserve"> </w:t>
      </w:r>
      <w:r>
        <w:t xml:space="preserve">5. Sun-synchronous orbits and J2 precession</w:t>
      </w:r>
      <w:r>
        <w:t xml:space="preserve"> </w:t>
      </w:r>
      <w:r>
        <w:t xml:space="preserve">6. Eclipse geometry and the dawn-dusk advantage</w:t>
      </w:r>
      <w:r>
        <w:t xml:space="preserve"> </w:t>
      </w:r>
      <w:r>
        <w:t xml:space="preserve">7. The neutral atmosphere and orbital decay</w:t>
      </w:r>
      <w:r>
        <w:t xml:space="preserve"> </w:t>
      </w:r>
      <w:r>
        <w:t xml:space="preserve">8. The ionizing-radiation environment</w:t>
      </w:r>
      <w:r>
        <w:t xml:space="preserve"> </w:t>
      </w:r>
      <w:r>
        <w:t xml:space="preserve">9. The orbital-debris environment</w:t>
      </w:r>
    </w:p>
    <w:p>
      <w:pPr>
        <w:pStyle w:val="BodyText"/>
      </w:pPr>
      <w:r>
        <w:rPr>
          <w:b/>
          <w:bCs/>
        </w:rPr>
        <w:t xml:space="preserve">Part III, Spacecraft subsystems</w:t>
      </w:r>
      <w:r>
        <w:t xml:space="preserve"> </w:t>
      </w:r>
      <w:r>
        <w:t xml:space="preserve">10. Thermal control</w:t>
      </w:r>
      <w:r>
        <w:t xml:space="preserve"> </w:t>
      </w:r>
      <w:r>
        <w:t xml:space="preserve">11. Electrical power</w:t>
      </w:r>
      <w:r>
        <w:t xml:space="preserve"> </w:t>
      </w:r>
      <w:r>
        <w:t xml:space="preserve">12. Structures and mass</w:t>
      </w:r>
      <w:r>
        <w:t xml:space="preserve"> </w:t>
      </w:r>
      <w:r>
        <w:t xml:space="preserve">13. Attitude determination and control; optical pointing</w:t>
      </w:r>
      <w:r>
        <w:t xml:space="preserve"> </w:t>
      </w:r>
      <w:r>
        <w:t xml:space="preserve">14. Communications: inter-satellite and ground</w:t>
      </w:r>
      <w:r>
        <w:t xml:space="preserve"> </w:t>
      </w:r>
      <w:r>
        <w:t xml:space="preserve">15. Propulsion and end-of-life disposal</w:t>
      </w:r>
      <w:r>
        <w:t xml:space="preserve"> </w:t>
      </w:r>
      <w:r>
        <w:t xml:space="preserve">16. Reliability and constellation availability</w:t>
      </w:r>
      <w:r>
        <w:t xml:space="preserve"> </w:t>
      </w:r>
      <w:r>
        <w:t xml:space="preserve">17. Compute and workload</w:t>
      </w:r>
    </w:p>
    <w:p>
      <w:pPr>
        <w:pStyle w:val="BodyText"/>
      </w:pPr>
      <w:r>
        <w:rPr>
          <w:b/>
          <w:bCs/>
        </w:rPr>
        <w:t xml:space="preserve">Part IV, Integration, simulation, and results</w:t>
      </w:r>
      <w:r>
        <w:t xml:space="preserve"> </w:t>
      </w:r>
      <w:r>
        <w:t xml:space="preserve">18. The integrated system model</w:t>
      </w:r>
      <w:r>
        <w:t xml:space="preserve"> </w:t>
      </w:r>
      <w:r>
        <w:t xml:space="preserve">19. Uncertainty quantification and sensitivity</w:t>
      </w:r>
      <w:r>
        <w:t xml:space="preserve"> </w:t>
      </w:r>
      <w:r>
        <w:t xml:space="preserve">20. Results: reference design point and constellation</w:t>
      </w:r>
    </w:p>
    <w:p>
      <w:pPr>
        <w:pStyle w:val="BodyText"/>
      </w:pPr>
      <w:r>
        <w:rPr>
          <w:b/>
          <w:bCs/>
        </w:rPr>
        <w:t xml:space="preserve">Part V, Economics and predictions</w:t>
      </w:r>
      <w:r>
        <w:t xml:space="preserve"> </w:t>
      </w:r>
      <w:r>
        <w:t xml:space="preserve">21. Techno-economics: cost, NPV, and the levelized cost of compute</w:t>
      </w:r>
      <w:r>
        <w:t xml:space="preserve"> </w:t>
      </w:r>
      <w:r>
        <w:t xml:space="preserve">22. The launch-cost-parity prediction</w:t>
      </w:r>
      <w:r>
        <w:t xml:space="preserve"> </w:t>
      </w:r>
      <w:r>
        <w:t xml:space="preserve">23. Capability and risk trajectory, 2027-2035</w:t>
      </w:r>
    </w:p>
    <w:p>
      <w:pPr>
        <w:pStyle w:val="BodyText"/>
      </w:pPr>
      <w:r>
        <w:rPr>
          <w:b/>
          <w:bCs/>
        </w:rPr>
        <w:t xml:space="preserve">Part VI, Synthesis</w:t>
      </w:r>
      <w:r>
        <w:t xml:space="preserve"> </w:t>
      </w:r>
      <w:r>
        <w:t xml:space="preserve">24. Caveats and limitations</w:t>
      </w:r>
      <w:r>
        <w:t xml:space="preserve"> </w:t>
      </w:r>
      <w:r>
        <w:t xml:space="preserve">25. Conclusions and the recommended demonstrator</w:t>
      </w:r>
    </w:p>
    <w:p>
      <w:pPr>
        <w:pStyle w:val="BodyText"/>
      </w:pPr>
      <w:r>
        <w:rPr>
          <w:b/>
          <w:bCs/>
        </w:rPr>
        <w:t xml:space="preserve">Part VII, Detailed results, data, and worked computations</w:t>
      </w:r>
      <w:r>
        <w:t xml:space="preserve"> </w:t>
      </w:r>
      <w:r>
        <w:t xml:space="preserve">26. A worked end-to-end computation</w:t>
      </w:r>
      <w:r>
        <w:t xml:space="preserve"> </w:t>
      </w:r>
      <w:r>
        <w:t xml:space="preserve">27. Detailed results tables (T1-T13)</w:t>
      </w:r>
      <w:r>
        <w:t xml:space="preserve"> </w:t>
      </w:r>
      <w:r>
        <w:t xml:space="preserve">28. Constellation design and relative dynamics</w:t>
      </w:r>
      <w:r>
        <w:t xml:space="preserve"> </w:t>
      </w:r>
      <w:r>
        <w:t xml:space="preserve">29. Comparison with terrestrial data centers</w:t>
      </w:r>
    </w:p>
    <w:p>
      <w:pPr>
        <w:pStyle w:val="BodyText"/>
      </w:pPr>
      <w:r>
        <w:rPr>
          <w:b/>
          <w:bCs/>
        </w:rPr>
        <w:t xml:space="preserve">Back matter</w:t>
      </w:r>
      <w:r>
        <w:t xml:space="preserve">, References · Appendix A: master equation list · Appendix B: nomenclature ·</w:t>
      </w:r>
      <w:r>
        <w:t xml:space="preserve"> </w:t>
      </w:r>
      <w:r>
        <w:t xml:space="preserve">Appendix C: data sources and confidence · Appendix D: reproduction and code</w:t>
      </w:r>
    </w:p>
    <w:p>
      <w:r>
        <w:pict>
          <v:rect style="width:0;height:1.5pt" o:hralign="center" o:hrstd="t" o:hr="t"/>
        </w:pict>
      </w:r>
    </w:p>
    <w:bookmarkEnd w:id="12"/>
    <w:bookmarkStart w:id="13" w:name="nomenclature"/>
    <w:p>
      <w:pPr>
        <w:pStyle w:val="Heading2"/>
      </w:pPr>
      <w:r>
        <w:t xml:space="preserve">Nomenclature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μ</m:t>
              </m:r>
            </m:oMath>
          </w:p>
        </w:tc>
        <w:tc>
          <w:tcPr/>
          <w:p>
            <w:pPr>
              <w:pStyle w:val="Compact"/>
            </w:pPr>
            <w:r>
              <w:t xml:space="preserve">Earth gravitational parameter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Earth mean radius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m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Earth oblateness coefficient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r</m:t>
              </m:r>
            </m:oMath>
          </w:p>
        </w:tc>
        <w:tc>
          <w:tcPr/>
          <w:p>
            <w:pPr>
              <w:pStyle w:val="Compact"/>
            </w:pPr>
            <w:r>
              <w:t xml:space="preserve">semi-major axis, altitude, orbital radius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m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v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t xml:space="preserve">speed, mean motion, period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E</m:t>
              </m:r>
            </m:oMath>
          </w:p>
        </w:tc>
        <w:tc>
          <w:tcPr/>
          <w:p>
            <w:pPr>
              <w:pStyle w:val="Compact"/>
            </w:pPr>
            <w:r>
              <w:t xml:space="preserve">specific orbital energy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ρ</m:t>
              </m:r>
            </m:oMath>
          </w:p>
        </w:tc>
        <w:tc>
          <w:tcPr/>
          <w:p>
            <w:pPr>
              <w:pStyle w:val="Compact"/>
            </w:pPr>
            <w:r>
              <w:t xml:space="preserve">neutral atmospheric density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m</m:t>
              </m:r>
            </m:oMath>
          </w:p>
        </w:tc>
        <w:tc>
          <w:tcPr/>
          <w:p>
            <w:pPr>
              <w:pStyle w:val="Compact"/>
            </w:pPr>
            <w:r>
              <w:t xml:space="preserve">drag coefficient, area-to-mass ratio</w:t>
            </w:r>
          </w:p>
        </w:tc>
        <w:tc>
          <w:tcPr/>
          <w:p>
            <w:pPr>
              <w:pStyle w:val="Compact"/>
            </w:pPr>
            <w:r>
              <w:t xml:space="preserve">–,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σ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ε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α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Stefan-Boltzmann constant, emissivity, solar absorptivity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4</m:t>
                  </m:r>
                </m:sup>
              </m:sSup>
            </m:oMath>
            <w:r>
              <w:t xml:space="preserve">, –, –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R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temperature, heat load, thermal resistance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W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solar constant, view factor, Bond albedo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</m:oMath>
            <w:r>
              <w:t xml:space="preserve">, –, –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Φ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N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r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debris flux, fragment count, target radius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y</m:t>
              </m:r>
              <m:sSup>
                <m:e>
                  <m:r>
                    <m:rPr>
                      <m:sty m:val="p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t xml:space="preserve">, –,</w:t>
            </w:r>
            <w:r>
              <w:t xml:space="preserve"> </w:t>
            </w:r>
            <m:oMath>
              <m:r>
                <m:rPr>
                  <m:sty m:val="p"/>
                </m:rPr>
                <m:t>m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v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I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velocity increment, specific impulse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L</m:t>
                  </m:r>
                </m:e>
                <m:sub>
                  <m:r>
                    <m:t>f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λ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D</m:t>
              </m:r>
            </m:oMath>
          </w:p>
        </w:tc>
        <w:tc>
          <w:tcPr/>
          <w:p>
            <w:pPr>
              <w:pStyle w:val="Compact"/>
            </w:pPr>
            <w:r>
              <w:t xml:space="preserve">telescope gain, free-space loss, wavelength, aperture</w:t>
            </w:r>
          </w:p>
        </w:tc>
        <w:tc>
          <w:tcPr/>
          <w:p>
            <w:pPr>
              <w:pStyle w:val="Compact"/>
            </w:pPr>
            <w:r>
              <w:t xml:space="preserve">dB, dB, m, m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mean time between failures, reliability</w:t>
            </w:r>
          </w:p>
        </w:tc>
        <w:tc>
          <w:tcPr/>
          <w:p>
            <w:pPr>
              <w:pStyle w:val="Compact"/>
            </w:pPr>
            <w:r>
              <w:t xml:space="preserve">h, –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E</m:t>
              </m:r>
            </m:oMath>
          </w:p>
        </w:tc>
        <w:tc>
          <w:tcPr/>
          <w:p>
            <w:pPr>
              <w:pStyle w:val="Compact"/>
            </w:pPr>
            <w:r>
              <w:t xml:space="preserve">efficiency, model-FLOPs utilization, power-usage effectiveness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discount rate, capital-recovery factor, net present value</w:t>
            </w:r>
          </w:p>
        </w:tc>
        <w:tc>
          <w:tcPr/>
          <w:p>
            <w:pPr>
              <w:pStyle w:val="Compact"/>
            </w:pPr>
            <w:r>
              <w:t xml:space="preserve">–, –, USD</w:t>
            </w:r>
          </w:p>
        </w:tc>
      </w:tr>
    </w:tbl>
    <w:bookmarkEnd w:id="13"/>
    <w:bookmarkStart w:id="14" w:name="physical-constants"/>
    <w:p>
      <w:pPr>
        <w:pStyle w:val="Heading2"/>
      </w:pPr>
      <w:r>
        <w:t xml:space="preserve">Physical constants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μ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3.986004418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14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6.371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1.08263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σ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5.670374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h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6.62607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34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1.38065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23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2.99792458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8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9.80665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1361</m:t>
              </m:r>
              <m:r>
                <m:t> </m:t>
              </m:r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2.725</m:t>
              </m:r>
              <m:r>
                <m:t> </m:t>
              </m:r>
              <m:r>
                <m:rPr>
                  <m:sty m:val="p"/>
                </m:rPr>
                <m:t>K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0.30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237</m:t>
              </m:r>
              <m:r>
                <m:t> </m:t>
              </m:r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</m:oMath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20" w:name="part-i-introduction-and-context"/>
    <w:p>
      <w:pPr>
        <w:pStyle w:val="Heading1"/>
      </w:pPr>
      <w:r>
        <w:t xml:space="preserve">PART I, INTRODUCTION AND CONTEXT</w:t>
      </w:r>
    </w:p>
    <w:bookmarkStart w:id="16" w:name="introduction-and-motivation"/>
    <w:p>
      <w:pPr>
        <w:pStyle w:val="Heading2"/>
      </w:pPr>
      <w:r>
        <w:t xml:space="preserve">1. Introduction and motivation</w:t>
      </w:r>
    </w:p>
    <w:p>
      <w:pPr>
        <w:pStyle w:val="FirstParagraph"/>
      </w:pPr>
      <w:r>
        <w:t xml:space="preserve">The energy and thermal demands of artificial-intelligence computing have grown faster than</w:t>
      </w:r>
      <w:r>
        <w:t xml:space="preserve"> </w:t>
      </w:r>
      <w:r>
        <w:t xml:space="preserve">terrestrial infrastructure can comfortably absorb. Training and inference clusters are now</w:t>
      </w:r>
      <w:r>
        <w:t xml:space="preserve"> </w:t>
      </w:r>
      <w:r>
        <w:t xml:space="preserve">provisioned in tens to hundreds of megawatts; cooling, water, land, and grid interconnection have</w:t>
      </w:r>
      <w:r>
        <w:t xml:space="preserve"> </w:t>
      </w:r>
      <w:r>
        <w:t xml:space="preserve">become first-order constraints. Against this backdrop, placing computation in orbit is no longer</w:t>
      </w:r>
      <w:r>
        <w:t xml:space="preserve"> </w:t>
      </w:r>
      <w:r>
        <w:t xml:space="preserve">purely speculative. Orbit offers three physical advantages that are real and quantifiable: a</w:t>
      </w:r>
      <w:r>
        <w:t xml:space="preserve"> </w:t>
      </w:r>
      <w:r>
        <w:t xml:space="preserve">continuous, high-flux solar resource in the right orbit; an effectively unlimited radiative heat</w:t>
      </w:r>
      <w:r>
        <w:t xml:space="preserve"> </w:t>
      </w:r>
      <w:r>
        <w:t xml:space="preserve">sink at the 2.725 K cosmic-microwave-background temperature; and freedom from terrestrial land and</w:t>
      </w:r>
      <w:r>
        <w:t xml:space="preserve"> </w:t>
      </w:r>
      <w:r>
        <w:t xml:space="preserve">water constraints. It also imposes severe penalties: a harsh radiation environment, a congested and</w:t>
      </w:r>
      <w:r>
        <w:t xml:space="preserve"> </w:t>
      </w:r>
      <w:r>
        <w:t xml:space="preserve">debris-laden orbital neighborhood, the impossibility of hands-on repair, the cost of launch, and a</w:t>
      </w:r>
      <w:r>
        <w:t xml:space="preserve"> </w:t>
      </w:r>
      <w:r>
        <w:t xml:space="preserve">regulatory obligation to dispose of the hardware responsibly.</w:t>
      </w:r>
    </w:p>
    <w:p>
      <w:pPr>
        <w:pStyle w:val="BodyText"/>
      </w:pPr>
      <w:r>
        <w:t xml:space="preserve">The purpose of this analysis is neither advocacy nor dismissal. It is to build the complete</w:t>
      </w:r>
      <w:r>
        <w:t xml:space="preserve"> </w:t>
      </w:r>
      <w:r>
        <w:t xml:space="preserve">engineering model of an orbital AI data center from first principles, to compute the numbers</w:t>
      </w:r>
      <w:r>
        <w:t xml:space="preserve"> </w:t>
      </w:r>
      <w:r>
        <w:t xml:space="preserve">carefully, and to state plainly which problems are solved and which are not. The first report in this</w:t>
      </w:r>
      <w:r>
        <w:t xml:space="preserve"> </w:t>
      </w:r>
      <w:r>
        <w:t xml:space="preserve">series (November 2025) examined a single question, whether passive radiative cooling can keep a</w:t>
      </w:r>
      <w:r>
        <w:t xml:space="preserve"> </w:t>
      </w:r>
      <w:r>
        <w:t xml:space="preserve">processor within its junction-temperature limit in low Earth orbit, and answered yes. This complete</w:t>
      </w:r>
      <w:r>
        <w:t xml:space="preserve"> </w:t>
      </w:r>
      <w:r>
        <w:t xml:space="preserve">edition addresses the entire system: not only whether the chip stays cool, but whether the</w:t>
      </w:r>
      <w:r>
        <w:t xml:space="preserve"> </w:t>
      </w:r>
      <w:r>
        <w:t xml:space="preserve">spacecraft survives, communicates, points, powers itself, disposes of itself, and pays for itself.</w:t>
      </w:r>
    </w:p>
    <w:p>
      <w:pPr>
        <w:pStyle w:val="BodyText"/>
      </w:pPr>
      <w:r>
        <w:t xml:space="preserve">The work is organized as a book so that each result can be traced from physical principle, through</w:t>
      </w:r>
      <w:r>
        <w:t xml:space="preserve"> </w:t>
      </w:r>
      <w:r>
        <w:t xml:space="preserve">derivation and code, to a number with an uncertainty band and a citation. Where the analysis</w:t>
      </w:r>
      <w:r>
        <w:t xml:space="preserve"> </w:t>
      </w:r>
      <w:r>
        <w:t xml:space="preserve">corrects an earlier assumption or contradicts a popular claim, it says so. Where a number is a</w:t>
      </w:r>
      <w:r>
        <w:t xml:space="preserve"> </w:t>
      </w:r>
      <w:r>
        <w:t xml:space="preserve">vendor projection rather than a demonstrated capability, it is flagged. The accompanying software is</w:t>
      </w:r>
      <w:r>
        <w:t xml:space="preserve"> </w:t>
      </w:r>
      <w:r>
        <w:t xml:space="preserve">open, validated by 108 automated tests, and reproduces every figure and value in this volume with a</w:t>
      </w:r>
      <w:r>
        <w:t xml:space="preserve"> </w:t>
      </w:r>
      <w:r>
        <w:t xml:space="preserve">single command.</w:t>
      </w:r>
    </w:p>
    <w:bookmarkEnd w:id="16"/>
    <w:bookmarkStart w:id="17" w:name="the-state-of-the-art-2025-2026"/>
    <w:p>
      <w:pPr>
        <w:pStyle w:val="Heading2"/>
      </w:pPr>
      <w:r>
        <w:t xml:space="preserve">2. The state of the art (2025-2026)</w:t>
      </w:r>
    </w:p>
    <w:p>
      <w:pPr>
        <w:pStyle w:val="FirstParagraph"/>
      </w:pPr>
      <w:r>
        <w:t xml:space="preserve">Three programs anchor the field as of mid-2026. Their status here is drawn from primary sources.</w:t>
      </w:r>
    </w:p>
    <w:p>
      <w:pPr>
        <w:pStyle w:val="BodyText"/>
      </w:pPr>
      <w:r>
        <w:rPr>
          <w:b/>
          <w:bCs/>
        </w:rPr>
        <w:t xml:space="preserve">Google Project Suncatcher.</w:t>
      </w:r>
      <w:r>
        <w:t xml:space="preserve"> </w:t>
      </w:r>
      <w:r>
        <w:t xml:space="preserve">The reference architecture for this study. Google’s research paper</w:t>
      </w:r>
      <w:r>
        <w:t xml:space="preserve"> </w:t>
      </w:r>
      <w:r>
        <w:t xml:space="preserve">(arXiv:2511.19468) describes an illustrative constellation of eighty-one satellites arranged in a</w:t>
      </w:r>
      <w:r>
        <w:t xml:space="preserve"> </w:t>
      </w:r>
      <w:r>
        <w:t xml:space="preserve">cluster of approximately one-kilometer radius, in a dawn-dusk sun-synchronous low-Earth orbit at a</w:t>
      </w:r>
      <w:r>
        <w:t xml:space="preserve"> </w:t>
      </w:r>
      <w:r>
        <w:t xml:space="preserve">mean altitude of 650 km, with the satellites separated by roughly 100 to 200 m and connected by</w:t>
      </w:r>
      <w:r>
        <w:t xml:space="preserve"> </w:t>
      </w:r>
      <w:r>
        <w:t xml:space="preserve">free-space optical links. Each satellite carries Google Tensor Processing Units. Google and Planet</w:t>
      </w:r>
      <w:r>
        <w:t xml:space="preserve"> </w:t>
      </w:r>
      <w:r>
        <w:t xml:space="preserve">Labs have announced a learning mission to launch two prototype satellites carrying TPUs by early</w:t>
      </w:r>
      <w:r>
        <w:t xml:space="preserve"> </w:t>
      </w:r>
      <w:r>
        <w:t xml:space="preserve">2027; Planet will build and operate the platform. These facts are corroborated by Google’s and</w:t>
      </w:r>
      <w:r>
        <w:t xml:space="preserve"> </w:t>
      </w:r>
      <w:r>
        <w:t xml:space="preserve">Planet’s own releases. The</w:t>
      </w:r>
      <w:r>
        <w:t xml:space="preserve"> </w:t>
      </w:r>
      <w:r>
        <w:t xml:space="preserve">“by early 2027”</w:t>
      </w:r>
      <w:r>
        <w:t xml:space="preserve"> </w:t>
      </w:r>
      <w:r>
        <w:t xml:space="preserve">date is a corporate target subject to slip.</w:t>
      </w:r>
    </w:p>
    <w:p>
      <w:pPr>
        <w:pStyle w:val="BodyText"/>
      </w:pPr>
      <w:r>
        <w:rPr>
          <w:b/>
          <w:bCs/>
        </w:rPr>
        <w:t xml:space="preserve">Starcloud.</w:t>
      </w:r>
      <w:r>
        <w:t xml:space="preserve"> </w:t>
      </w:r>
      <w:r>
        <w:t xml:space="preserve">In a significant demonstration, Starcloud flew an NVIDIA H100 GPU, the highest-power</w:t>
      </w:r>
      <w:r>
        <w:t xml:space="preserve"> </w:t>
      </w:r>
      <w:r>
        <w:t xml:space="preserve">data-center-class processor flown to date, aboard the approximately sixty-kilogram Starcloud-1</w:t>
      </w:r>
      <w:r>
        <w:t xml:space="preserve"> </w:t>
      </w:r>
      <w:r>
        <w:t xml:space="preserve">satellite, launched on 2 November 2025. NVIDIA reports the satellite carries an H100 with 80 GB of</w:t>
      </w:r>
      <w:r>
        <w:t xml:space="preserve"> </w:t>
      </w:r>
      <w:r>
        <w:t xml:space="preserve">high-bandwidth memory and on the order of four petaflops of AI compute. Starcloud has articulated a</w:t>
      </w:r>
      <w:r>
        <w:t xml:space="preserve"> </w:t>
      </w:r>
      <w:r>
        <w:t xml:space="preserve">long-term vision of a five-gigawatt orbital data center with solar and cooling panels spanning</w:t>
      </w:r>
      <w:r>
        <w:t xml:space="preserve"> </w:t>
      </w:r>
      <w:r>
        <w:t xml:space="preserve">roughly four kilometers on a side. The five-gigawatt figure is an aspirational early-2030s</w:t>
      </w:r>
      <w:r>
        <w:t xml:space="preserve"> </w:t>
      </w:r>
      <w:r>
        <w:t xml:space="preserve">engineering target, not a demonstrated capability. Notably, Starcloud’s marketing claim of</w:t>
      </w:r>
      <w:r>
        <w:t xml:space="preserve"> </w:t>
      </w:r>
      <w:r>
        <w:t xml:space="preserve">“ten</w:t>
      </w:r>
      <w:r>
        <w:t xml:space="preserve"> </w:t>
      </w:r>
      <w:r>
        <w:t xml:space="preserve">times cheaper including launch”</w:t>
      </w:r>
      <w:r>
        <w:t xml:space="preserve"> </w:t>
      </w:r>
      <w:r>
        <w:t xml:space="preserve">failed independent verification and should be treated with caution.</w:t>
      </w:r>
    </w:p>
    <w:p>
      <w:pPr>
        <w:pStyle w:val="BodyText"/>
      </w:pPr>
      <w:r>
        <w:rPr>
          <w:b/>
          <w:bCs/>
        </w:rPr>
        <w:t xml:space="preserve">Axiom Space.</w:t>
      </w:r>
      <w:r>
        <w:t xml:space="preserve"> </w:t>
      </w:r>
      <w:r>
        <w:t xml:space="preserve">Axiom deployed its first Orbital Data Center nodes to low Earth orbit on 11 January</w:t>
      </w:r>
      <w:r>
        <w:t xml:space="preserve"> </w:t>
      </w:r>
      <w:r>
        <w:t xml:space="preserve">2026 and has stated a goal of scaling on-orbit processing from kilowatts to megawatts on future</w:t>
      </w:r>
      <w:r>
        <w:t xml:space="preserve"> </w:t>
      </w:r>
      <w:r>
        <w:t xml:space="preserve">nodes. Megawatt scale is a future goal, not current capacity; a claim that the first nodes would</w:t>
      </w:r>
      <w:r>
        <w:t xml:space="preserve"> </w:t>
      </w:r>
      <w:r>
        <w:t xml:space="preserve">launch by the end of 2025 was inaccurate (actual deployment was January 2026).</w:t>
      </w:r>
    </w:p>
    <w:p>
      <w:pPr>
        <w:pStyle w:val="BodyText"/>
      </w:pPr>
      <w:r>
        <w:t xml:space="preserve">The state of the art shows a clear gap between what has been demonstrated, one</w:t>
      </w:r>
      <w:r>
        <w:t xml:space="preserve"> </w:t>
      </w:r>
      <w:r>
        <w:t xml:space="preserve">data-center-class GPU in orbit, ground-based radiation testing of a TPU, a bench-scale 1.6-terabit</w:t>
      </w:r>
      <w:r>
        <w:t xml:space="preserve"> </w:t>
      </w:r>
      <w:r>
        <w:t xml:space="preserve">optical link, and initial kilowatt-class nodes, and what the vision requires, megawatt-to-gigawatt</w:t>
      </w:r>
      <w:r>
        <w:t xml:space="preserve"> </w:t>
      </w:r>
      <w:r>
        <w:t xml:space="preserve">clusters, flown multi-terabit formation links, dramatically cheaper launch, and validated formation</w:t>
      </w:r>
      <w:r>
        <w:t xml:space="preserve"> </w:t>
      </w:r>
      <w:r>
        <w:t xml:space="preserve">station-keeping. None of the latter has been demonstrated.</w:t>
      </w:r>
    </w:p>
    <w:bookmarkEnd w:id="17"/>
    <w:bookmarkStart w:id="18" w:name="reference-architecture-and-scope"/>
    <w:p>
      <w:pPr>
        <w:pStyle w:val="Heading2"/>
      </w:pPr>
      <w:r>
        <w:t xml:space="preserve">3. Reference architecture and scope</w:t>
      </w:r>
    </w:p>
    <w:p>
      <w:pPr>
        <w:pStyle w:val="FirstParagraph"/>
      </w:pPr>
      <w:r>
        <w:t xml:space="preserve">Throughout this analysis the reference design follows the Suncatcher parameters: a dawn-dusk</w:t>
      </w:r>
      <w:r>
        <w:t xml:space="preserve"> </w:t>
      </w:r>
      <w:r>
        <w:t xml:space="preserve">sun-synchronous orbit at 650 km, an eighty-one-satellite cluster of one-kilometer radius, and</w:t>
      </w:r>
      <w:r>
        <w:t xml:space="preserve"> </w:t>
      </w:r>
      <w:r>
        <w:t xml:space="preserve">inter-satellite spacing of roughly 150 m. The reference satellite bus is taken to carry four</w:t>
      </w:r>
      <w:r>
        <w:t xml:space="preserve"> </w:t>
      </w:r>
      <w:r>
        <w:t xml:space="preserve">accelerators with an avionics and support complement, consistent with the mass budget developed in</w:t>
      </w:r>
      <w:r>
        <w:t xml:space="preserve"> </w:t>
      </w:r>
      <w:r>
        <w:t xml:space="preserve">Chapter 12. Where the analysis examines higher-power chips (NVIDIA H100 at 700 W, B200 at 1000 W,</w:t>
      </w:r>
      <w:r>
        <w:t xml:space="preserve"> </w:t>
      </w:r>
      <w:r>
        <w:t xml:space="preserve">the GB200 GPU at 1200 W), it does so to test the scaling of each subsystem, because the trend in AI</w:t>
      </w:r>
      <w:r>
        <w:t xml:space="preserve"> </w:t>
      </w:r>
      <w:r>
        <w:t xml:space="preserve">accelerators is toward higher, not lower, per-chip power.</w:t>
      </w:r>
    </w:p>
    <w:p>
      <w:pPr>
        <w:pStyle w:val="BodyText"/>
      </w:pPr>
      <w:r>
        <w:t xml:space="preserve">The scope of the models is conceptual to preliminary design (Phase A in aerospace terms). The</w:t>
      </w:r>
      <w:r>
        <w:t xml:space="preserve"> </w:t>
      </w:r>
      <w:r>
        <w:t xml:space="preserve">intent is to size each subsystem, rank the risks, and quantify the trades, not to produce a</w:t>
      </w:r>
      <w:r>
        <w:t xml:space="preserve"> </w:t>
      </w:r>
      <w:r>
        <w:t xml:space="preserve">certifiable flight design. Several domains are treated at first order with explicit uncertainty</w:t>
      </w:r>
      <w:r>
        <w:t xml:space="preserve"> </w:t>
      </w:r>
      <w:r>
        <w:t xml:space="preserve">bands, and a number of analyses that a flight program would require (a thermal finite-element model,</w:t>
      </w:r>
      <w:r>
        <w:t xml:space="preserve"> </w:t>
      </w:r>
      <w:r>
        <w:t xml:space="preserve">a closed-loop attitude-control simulation, formal failure-modes analysis, and runs of the official</w:t>
      </w:r>
      <w:r>
        <w:t xml:space="preserve"> </w:t>
      </w:r>
      <w:r>
        <w:t xml:space="preserve">agency debris and radiation tools) are out of scope and are identified as such in Chapter 24. Stating the fidelity plainly is essential: the value of the model lies in its breadth and its</w:t>
      </w:r>
      <w:r>
        <w:t xml:space="preserve"> </w:t>
      </w:r>
      <w:r>
        <w:t xml:space="preserve">transparency, not in a claim of flight accuracy.</w:t>
      </w:r>
    </w:p>
    <w:p>
      <w:r>
        <w:pict>
          <v:rect style="width:0;height:1.5pt" o:hralign="center" o:hrstd="t" o:hr="t"/>
        </w:pict>
      </w:r>
    </w:p>
    <w:bookmarkEnd w:id="18"/>
    <w:bookmarkStart w:id="19" w:name="Xfc230b641c8ac1af95bb2946bc374ee51dc38ae"/>
    <w:p>
      <w:pPr>
        <w:pStyle w:val="Heading2"/>
      </w:pPr>
      <w:r>
        <w:t xml:space="preserve">3A. Design methodology, margins, and readiness</w:t>
      </w:r>
    </w:p>
    <w:p>
      <w:pPr>
        <w:pStyle w:val="FirstParagraph"/>
      </w:pPr>
      <w:r>
        <w:t xml:space="preserve">A conceptual design is judged not only by its point estimates but by the allowances it carries</w:t>
      </w:r>
      <w:r>
        <w:t xml:space="preserve"> </w:t>
      </w:r>
      <w:r>
        <w:t xml:space="preserve">against growth and uncertainty. This analysis follows the practice of the NASA Systems Engineering</w:t>
      </w:r>
      <w:r>
        <w:t xml:space="preserve"> </w:t>
      </w:r>
      <w:r>
        <w:t xml:space="preserve">Handbook (NASA/SP-2016-6105), which tracks resource margins as technical performance measures</w:t>
      </w:r>
      <w:r>
        <w:t xml:space="preserve"> </w:t>
      </w:r>
      <w:r>
        <w:t xml:space="preserve">rather than prescribing fixed numbers, together with the quantitative allowances that flight</w:t>
      </w:r>
      <w:r>
        <w:t xml:space="preserve"> </w:t>
      </w:r>
      <w:r>
        <w:t xml:space="preserve">programs apply.</w:t>
      </w:r>
    </w:p>
    <w:p>
      <w:pPr>
        <w:pStyle w:val="BodyText"/>
      </w:pPr>
      <w:r>
        <w:rPr>
          <w:b/>
          <w:bCs/>
        </w:rPr>
        <w:t xml:space="preserve">Mass growth.</w:t>
      </w:r>
      <w:r>
        <w:t xml:space="preserve"> </w:t>
      </w:r>
      <w:r>
        <w:t xml:space="preserve">AIAA S-120-2006 sets a mass-growth allowance by hardware category for an estimated</w:t>
      </w:r>
      <w:r>
        <w:t xml:space="preserve"> </w:t>
      </w:r>
      <w:r>
        <w:t xml:space="preserve">design: 30 percent for small electronics and solar arrays, 25 percent for structures, mechanisms,</w:t>
      </w:r>
      <w:r>
        <w:t xml:space="preserve"> </w:t>
      </w:r>
      <w:r>
        <w:t xml:space="preserve">thermal control, batteries, and propulsion, 20 percent for large electronics, and 60 percent for</w:t>
      </w:r>
      <w:r>
        <w:t xml:space="preserve"> </w:t>
      </w:r>
      <w:r>
        <w:t xml:space="preserve">harness. On top of the per-item allowance, the NASA Goddard Integrated Design Center applies a</w:t>
      </w:r>
      <w:r>
        <w:t xml:space="preserve"> </w:t>
      </w:r>
      <w:r>
        <w:t xml:space="preserve">system-level mass margin of about 30 percent at the pre-Phase-A concept stage. Published mass-growth</w:t>
      </w:r>
      <w:r>
        <w:t xml:space="preserve"> </w:t>
      </w:r>
      <w:r>
        <w:t xml:space="preserve">data from operational programs show actual growth often exceeds the AIAA allowance, so these figures</w:t>
      </w:r>
      <w:r>
        <w:t xml:space="preserve"> </w:t>
      </w:r>
      <w:r>
        <w:t xml:space="preserve">are treated as lower bounds. The reference dry mass reported in Chapter 12 is a current-best-estimate;</w:t>
      </w:r>
      <w:r>
        <w:t xml:space="preserve"> </w:t>
      </w:r>
      <w:r>
        <w:t xml:space="preserve">applying the allowances above (implemented in the margins module) gives the predicted mass a program</w:t>
      </w:r>
      <w:r>
        <w:t xml:space="preserve"> </w:t>
      </w:r>
      <w:r>
        <w:t xml:space="preserve">would budget.</w:t>
      </w:r>
    </w:p>
    <w:p>
      <w:pPr>
        <w:pStyle w:val="BodyText"/>
      </w:pPr>
      <w:r>
        <w:rPr>
          <w:b/>
          <w:bCs/>
        </w:rPr>
        <w:t xml:space="preserve">Power.</w:t>
      </w:r>
      <w:r>
        <w:t xml:space="preserve"> </w:t>
      </w:r>
      <w:r>
        <w:t xml:space="preserve">The Goddard practice sizes the power system for a minimum 30 percent contingency of</w:t>
      </w:r>
      <w:r>
        <w:t xml:space="preserve"> </w:t>
      </w:r>
      <w:r>
        <w:t xml:space="preserve">delivered power over the current-best-estimate load, evaluated at the worst-case operational scenario</w:t>
      </w:r>
      <w:r>
        <w:t xml:space="preserve"> </w:t>
      </w:r>
      <w:r>
        <w:t xml:space="preserve">at end of life. The dawn-dusk power margin of Chapter 11 is interpreted against this rule.</w:t>
      </w:r>
    </w:p>
    <w:p>
      <w:pPr>
        <w:pStyle w:val="BodyText"/>
      </w:pPr>
      <w:r>
        <w:rPr>
          <w:b/>
          <w:bCs/>
        </w:rPr>
        <w:t xml:space="preserve">Readiness.</w:t>
      </w:r>
      <w:r>
        <w:t xml:space="preserve"> </w:t>
      </w:r>
      <w:r>
        <w:t xml:space="preserve">Progress is measured on the NASA nine-level technology-readiness scale, from basic</w:t>
      </w:r>
      <w:r>
        <w:t xml:space="preserve"> </w:t>
      </w:r>
      <w:r>
        <w:t xml:space="preserve">principles observed (level 1) to a system flight-proven through successful operations (level 9). The</w:t>
      </w:r>
      <w:r>
        <w:t xml:space="preserve"> </w:t>
      </w:r>
      <w:r>
        <w:t xml:space="preserve">components of the reference architecture sit near the middle: a single accelerator has operated in</w:t>
      </w:r>
      <w:r>
        <w:t xml:space="preserve"> </w:t>
      </w:r>
      <w:r>
        <w:t xml:space="preserve">orbit and a processor has been ground-tested for radiation (component levels 5 to 6), while the</w:t>
      </w:r>
      <w:r>
        <w:t xml:space="preserve"> </w:t>
      </w:r>
      <w:r>
        <w:t xml:space="preserve">constellation-scale system, the flown multi-terabit formation links, and validated formation</w:t>
      </w:r>
      <w:r>
        <w:t xml:space="preserve"> </w:t>
      </w:r>
      <w:r>
        <w:t xml:space="preserve">station-keeping remain at low system readiness. The gap between component and system readiness is the</w:t>
      </w:r>
      <w:r>
        <w:t xml:space="preserve"> </w:t>
      </w:r>
      <w:r>
        <w:t xml:space="preserve">central programmatic risk identified in Chapter 23. Assessing each major capability against the</w:t>
      </w:r>
      <w:r>
        <w:t xml:space="preserve"> </w:t>
      </w:r>
      <w:r>
        <w:t xml:space="preserve">nine-level scale makes that gap explicit.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Demonstrated status, 2026</w:t>
            </w:r>
          </w:p>
        </w:tc>
        <w:tc>
          <w:tcPr/>
          <w:p>
            <w:pPr>
              <w:pStyle w:val="Compact"/>
            </w:pPr>
            <w:r>
              <w:t xml:space="preserve">Assessed TRL</w:t>
            </w:r>
          </w:p>
        </w:tc>
        <w:tc>
          <w:tcPr/>
          <w:p>
            <w:pPr>
              <w:pStyle w:val="Compact"/>
            </w:pPr>
            <w:r>
              <w:t xml:space="preserve">Gating step to the next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Data-center-class accelerator in orbit</w:t>
            </w:r>
          </w:p>
        </w:tc>
        <w:tc>
          <w:tcPr/>
          <w:p>
            <w:pPr>
              <w:pStyle w:val="Compact"/>
            </w:pPr>
            <w:r>
              <w:t xml:space="preserve">one GPU flown (Starcloud-1, Nov 2025)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sustained multi-unit operation on orbit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Processor radiation tolerance</w:t>
            </w:r>
          </w:p>
        </w:tc>
        <w:tc>
          <w:tcPr/>
          <w:p>
            <w:pPr>
              <w:pStyle w:val="Compact"/>
            </w:pPr>
            <w:r>
              <w:t xml:space="preserve">ground-tested, no hard failures to 15 krad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in-flight dose and upset-rate 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Node-level thermal control</w:t>
            </w:r>
          </w:p>
        </w:tc>
        <w:tc>
          <w:tcPr/>
          <w:p>
            <w:pPr>
              <w:pStyle w:val="Compact"/>
            </w:pPr>
            <w:r>
              <w:t xml:space="preserve">kilowatt-class pumped-loop nodes flown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 megawatt-class radiator flown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Multi-terabit formation optical link</w:t>
            </w:r>
          </w:p>
        </w:tc>
        <w:tc>
          <w:tcPr/>
          <w:p>
            <w:pPr>
              <w:pStyle w:val="Compact"/>
            </w:pPr>
            <w:r>
              <w:t xml:space="preserve">bench-scale link only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 flown link between two satellites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Formation station-keeping at sub-km spacing</w:t>
            </w:r>
          </w:p>
        </w:tc>
        <w:tc>
          <w:tcPr/>
          <w:p>
            <w:pPr>
              <w:pStyle w:val="Compact"/>
            </w:pPr>
            <w:r>
              <w:t xml:space="preserve">not demonstrated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two-satellite close-formation flight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Autonomous cluster debris avoidance</w:t>
            </w:r>
          </w:p>
        </w:tc>
        <w:tc>
          <w:tcPr/>
          <w:p>
            <w:pPr>
              <w:pStyle w:val="Compact"/>
            </w:pPr>
            <w:r>
              <w:t xml:space="preserve">not demonstrated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 closed-loop avoidance maneuver on orbit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Propulsive disposal within five years</w:t>
            </w:r>
          </w:p>
        </w:tc>
        <w:tc>
          <w:tcPr/>
          <w:p>
            <w:pPr>
              <w:pStyle w:val="Compact"/>
            </w:pPr>
            <w:r>
              <w:t xml:space="preserve">components flight-proven, configuration unproven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an end-to-end de-orbit demonstration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Megawatt-to-gigawatt cluster</w:t>
            </w:r>
          </w:p>
        </w:tc>
        <w:tc>
          <w:tcPr/>
          <w:p>
            <w:pPr>
              <w:pStyle w:val="Compact"/>
            </w:pPr>
            <w:r>
              <w:t xml:space="preserve">conceptual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 subscale multi-satellite cluster</w:t>
            </w:r>
          </w:p>
        </w:tc>
      </w:tr>
    </w:tbl>
    <w:p>
      <w:pPr>
        <w:pStyle w:val="BodyText"/>
      </w:pPr>
      <w:r>
        <w:t xml:space="preserve">The assessment confirms the central pattern: the building blocks sit at component levels 4 to 6,</w:t>
      </w:r>
      <w:r>
        <w:t xml:space="preserve"> </w:t>
      </w:r>
      <w:r>
        <w:t xml:space="preserve">while every capability that depends on the constellation operating as a coordinated system sits at</w:t>
      </w:r>
      <w:r>
        <w:t xml:space="preserve"> </w:t>
      </w:r>
      <w:r>
        <w:t xml:space="preserve">levels 2 to 3. The program risk is concentrated in the system-integration steps, not the components.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Allowance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Mass growth, small electronics and solar array</w:t>
            </w:r>
          </w:p>
        </w:tc>
        <w:tc>
          <w:tcPr/>
          <w:p>
            <w:pPr>
              <w:pStyle w:val="Compact"/>
            </w:pPr>
            <w:r>
              <w:t xml:space="preserve">30 percent</w:t>
            </w:r>
          </w:p>
        </w:tc>
        <w:tc>
          <w:tcPr/>
          <w:p>
            <w:pPr>
              <w:pStyle w:val="Compact"/>
            </w:pPr>
            <w:r>
              <w:t xml:space="preserve">AIAA S-120-2006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Mass growth, structures, thermal, battery, propulsion</w:t>
            </w:r>
          </w:p>
        </w:tc>
        <w:tc>
          <w:tcPr/>
          <w:p>
            <w:pPr>
              <w:pStyle w:val="Compact"/>
            </w:pPr>
            <w:r>
              <w:t xml:space="preserve">25 percent</w:t>
            </w:r>
          </w:p>
        </w:tc>
        <w:tc>
          <w:tcPr/>
          <w:p>
            <w:pPr>
              <w:pStyle w:val="Compact"/>
            </w:pPr>
            <w:r>
              <w:t xml:space="preserve">AIAA S-120-2006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Mass growth, large electronics</w:t>
            </w:r>
          </w:p>
        </w:tc>
        <w:tc>
          <w:tcPr/>
          <w:p>
            <w:pPr>
              <w:pStyle w:val="Compact"/>
            </w:pPr>
            <w:r>
              <w:t xml:space="preserve">20 percent</w:t>
            </w:r>
          </w:p>
        </w:tc>
        <w:tc>
          <w:tcPr/>
          <w:p>
            <w:pPr>
              <w:pStyle w:val="Compact"/>
            </w:pPr>
            <w:r>
              <w:t xml:space="preserve">AIAA S-120-2006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Mass growth, harness</w:t>
            </w:r>
          </w:p>
        </w:tc>
        <w:tc>
          <w:tcPr/>
          <w:p>
            <w:pPr>
              <w:pStyle w:val="Compact"/>
            </w:pPr>
            <w:r>
              <w:t xml:space="preserve">60 percent</w:t>
            </w:r>
          </w:p>
        </w:tc>
        <w:tc>
          <w:tcPr/>
          <w:p>
            <w:pPr>
              <w:pStyle w:val="Compact"/>
            </w:pPr>
            <w:r>
              <w:t xml:space="preserve">AIAA S-120-2006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System-level mass margin, pre-Phase-A</w:t>
            </w:r>
          </w:p>
        </w:tc>
        <w:tc>
          <w:tcPr/>
          <w:p>
            <w:pPr>
              <w:pStyle w:val="Compact"/>
            </w:pPr>
            <w:r>
              <w:t xml:space="preserve">30 percent</w:t>
            </w:r>
          </w:p>
        </w:tc>
        <w:tc>
          <w:tcPr/>
          <w:p>
            <w:pPr>
              <w:pStyle w:val="Compact"/>
            </w:pPr>
            <w:r>
              <w:t xml:space="preserve">NASA GSFC Integrated Design Center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contingency over best estimate, worst-case end of life</w:t>
            </w:r>
          </w:p>
        </w:tc>
        <w:tc>
          <w:tcPr/>
          <w:p>
            <w:pPr>
              <w:pStyle w:val="Compact"/>
            </w:pPr>
            <w:r>
              <w:t xml:space="preserve">30 percent minimum</w:t>
            </w:r>
          </w:p>
        </w:tc>
        <w:tc>
          <w:tcPr/>
          <w:p>
            <w:pPr>
              <w:pStyle w:val="Compact"/>
            </w:pPr>
            <w:r>
              <w:t xml:space="preserve">NASA GSFC Integrated Design Center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Readiness framework</w:t>
            </w:r>
          </w:p>
        </w:tc>
        <w:tc>
          <w:tcPr/>
          <w:p>
            <w:pPr>
              <w:pStyle w:val="Compact"/>
            </w:pPr>
            <w:r>
              <w:t xml:space="preserve">levels 1 to 9</w:t>
            </w:r>
          </w:p>
        </w:tc>
        <w:tc>
          <w:tcPr/>
          <w:p>
            <w:pPr>
              <w:pStyle w:val="Compact"/>
            </w:pPr>
            <w:r>
              <w:t xml:space="preserve">NASA Systems Engineering Handbook, NASA/SP-2016-6105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36" w:name="part-ii-the-orbital-environment"/>
    <w:p>
      <w:pPr>
        <w:pStyle w:val="Heading1"/>
      </w:pPr>
      <w:r>
        <w:t xml:space="preserve">PART II, THE ORBITAL ENVIRONMENT</w:t>
      </w:r>
    </w:p>
    <w:bookmarkStart w:id="21" w:name="orbital-mechanics-of-a-circular-orbit"/>
    <w:p>
      <w:pPr>
        <w:pStyle w:val="Heading2"/>
      </w:pPr>
      <w:r>
        <w:t xml:space="preserve">4. Orbital mechanics of a circular orbit</w:t>
      </w:r>
    </w:p>
    <w:p>
      <w:pPr>
        <w:pStyle w:val="FirstParagraph"/>
      </w:pPr>
      <w:r>
        <w:t xml:space="preserve">Every subsequent chapter depends on a small set of orbital quantities, derived here.</w:t>
      </w:r>
    </w:p>
    <w:p>
      <w:pPr>
        <w:pStyle w:val="BodyText"/>
      </w:pPr>
      <w:r>
        <w:rPr>
          <w:b/>
          <w:bCs/>
        </w:rPr>
        <w:t xml:space="preserve">Circular speed.</w:t>
      </w:r>
      <w:r>
        <w:t xml:space="preserve"> </w:t>
      </w:r>
      <w:r>
        <w:t xml:space="preserve">For a satellite of mass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 a circular orbit of radius</w:t>
      </w:r>
      <w:r>
        <w:t xml:space="preserve"> </w:t>
      </w:r>
      <m:oMath>
        <m:r>
          <m:t>a</m:t>
        </m:r>
      </m:oMath>
      <w:r>
        <w:t xml:space="preserve">, gravity supplies</w:t>
      </w:r>
      <w:r>
        <w:t xml:space="preserve"> </w:t>
      </w:r>
      <w:r>
        <w:t xml:space="preserve">the centripetal force: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μ</m:t>
              </m:r>
              <m:r>
                <m:t>m</m:t>
              </m:r>
            </m:num>
            <m:den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p>
                <m:e>
                  <m:r>
                    <m:t>v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a</m:t>
              </m:r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v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a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Period and mean motion.</w:t>
      </w:r>
      <w:r>
        <w:t xml:space="preserve"> </w:t>
      </w:r>
      <w:r>
        <w:t xml:space="preserve">From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2</m:t>
        </m:r>
        <m:r>
          <m:t>π</m:t>
        </m:r>
        <m:r>
          <m:t>a</m:t>
        </m:r>
        <m:r>
          <m:rPr>
            <m:sty m:val="p"/>
          </m:rPr>
          <m:t>/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r>
            <m:t>2</m:t>
          </m:r>
          <m:r>
            <m:t>π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p>
                    <m:e>
                      <m:r>
                        <m:t>a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μ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π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Vis-viva and specific energy.</w:t>
      </w:r>
      <w:r>
        <w:t xml:space="preserve"> </w:t>
      </w:r>
      <w:r>
        <w:t xml:space="preserve">For a general orbit, energy conservation yields the vis-viva</w:t>
      </w:r>
      <w:r>
        <w:t xml:space="preserve"> </w:t>
      </w:r>
      <w:r>
        <w:t xml:space="preserve">relation</w:t>
      </w:r>
      <w:r>
        <w:t xml:space="preserve"> </w:t>
      </w:r>
      <m:oMath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μ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r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a</m:t>
                </m:r>
              </m:den>
            </m:f>
          </m:e>
        </m:d>
      </m:oMath>
      <w:r>
        <w:t xml:space="preserve">, and the total specific energy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v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μ</m:t>
              </m:r>
            </m:num>
            <m:den>
              <m:r>
                <m:t>r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μ</m:t>
              </m:r>
            </m:num>
            <m:den>
              <m:r>
                <m:t>2</m:t>
              </m:r>
              <m:r>
                <m:t>a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Equation (4.3) is the key to the orbital-decay derivation in Chapter 7: drag removes energy, and a</w:t>
      </w:r>
      <w:r>
        <w:t xml:space="preserve"> </w:t>
      </w:r>
      <w:r>
        <w:t xml:space="preserve">loss of energy means a more negative</w:t>
      </w:r>
      <w:r>
        <w:t xml:space="preserve"> </w:t>
      </w:r>
      <m:oMath>
        <m:r>
          <m:rPr>
            <m:scr m:val="script"/>
            <m:sty m:val="p"/>
          </m:rPr>
          <m:t>E</m:t>
        </m:r>
      </m:oMath>
      <w:r>
        <w:t xml:space="preserve">, hence a smaller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Worked example.</w:t>
      </w:r>
      <w:r>
        <w:t xml:space="preserve"> </w:t>
      </w:r>
      <w:r>
        <w:t xml:space="preserve">At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650</m:t>
        </m:r>
      </m:oMath>
      <w:r>
        <w:t xml:space="preserve"> </w:t>
      </w:r>
      <w:r>
        <w:t xml:space="preserve">km,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E</m:t>
            </m:r>
          </m:sub>
        </m:sSub>
        <m:r>
          <m:rPr>
            <m:sty m:val="p"/>
          </m:rPr>
          <m:t>+</m:t>
        </m:r>
        <m:r>
          <m:t>h</m:t>
        </m:r>
        <m:r>
          <m:rPr>
            <m:sty m:val="p"/>
          </m:rPr>
          <m:t>=</m:t>
        </m:r>
        <m:r>
          <m:t>7.021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m: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3.986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14</m:t>
                      </m:r>
                    </m:sup>
                  </m:sSup>
                </m:num>
                <m:den>
                  <m:r>
                    <m:t>7.021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6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=</m:t>
          </m:r>
          <m:r>
            <m:t>7534.8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=</m:t>
          </m:r>
          <m:r>
            <m:t>2</m:t>
          </m:r>
          <m:r>
            <m:t>π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7.021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6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3.986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14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=</m:t>
          </m:r>
          <m:r>
            <m:t>5854.8</m:t>
          </m:r>
          <m:r>
            <m:t> </m:t>
          </m:r>
          <m:r>
            <m:rPr>
              <m:sty m:val="p"/>
            </m:rPr>
            <m:t>s</m:t>
          </m:r>
          <m:r>
            <m:rPr>
              <m:sty m:val="p"/>
            </m:rPr>
            <m:t>=</m:t>
          </m:r>
          <m:r>
            <m:t>97.6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orbital speed is about 7.5 km/s and the period about 97.6 minutes, giving roughly 14.8 orbits</w:t>
      </w:r>
      <w:r>
        <w:t xml:space="preserve"> </w:t>
      </w:r>
      <w:r>
        <w:t xml:space="preserve">per day. These values are reproduced exactly by</w:t>
      </w:r>
      <w:r>
        <w:t xml:space="preserve"> </w:t>
      </w:r>
      <w:r>
        <w:rPr>
          <w:rStyle w:val="VerbatimChar"/>
        </w:rPr>
        <w:t xml:space="preserve">orbital_dc.orbit.velocity(650)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period(650)</w:t>
      </w:r>
      <w:r>
        <w:t xml:space="preserve">.</w:t>
      </w:r>
    </w:p>
    <w:bookmarkEnd w:id="21"/>
    <w:bookmarkStart w:id="22" w:name="sun-synchronous-orbits-and-j2-precession"/>
    <w:p>
      <w:pPr>
        <w:pStyle w:val="Heading2"/>
      </w:pPr>
      <w:r>
        <w:t xml:space="preserve">5. Sun-synchronous orbits and J2 precession</w:t>
      </w:r>
    </w:p>
    <w:p>
      <w:pPr>
        <w:pStyle w:val="FirstParagraph"/>
      </w:pPr>
      <w:r>
        <w:t xml:space="preserve">A sun-synchronous orbit maintains a near-constant orientation relative to the Sun by exploiting</w:t>
      </w:r>
      <w:r>
        <w:t xml:space="preserve"> </w:t>
      </w:r>
      <w:r>
        <w:t xml:space="preserve">Earth’s oblateness. The dominant non-spherical term in Earth’s gravity, characterized by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causes the orbital plane’s right ascension of the ascending node,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 to precess. The secular</w:t>
      </w:r>
      <w:r>
        <w:t xml:space="preserve"> </w:t>
      </w:r>
      <w:r>
        <w:t xml:space="preserve">precession rate for a near-circular orbit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̇"/>
            </m:accPr>
            <m:e>
              <m:r>
                <m:rPr>
                  <m:sty m:val="p"/>
                </m:rPr>
                <m:t>Ω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2</m:t>
              </m:r>
            </m:den>
          </m:f>
          <m:r>
            <m:t> </m:t>
          </m:r>
          <m:r>
            <m:t>n</m:t>
          </m:r>
          <m:r>
            <m:t> </m:t>
          </m:r>
          <m:sSub>
            <m:e>
              <m:r>
                <m:t>J</m:t>
              </m:r>
            </m:e>
            <m:sub>
              <m:r>
                <m:t>2</m:t>
              </m:r>
            </m:sub>
          </m:sSub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E</m:t>
                          </m:r>
                        </m:sub>
                      </m:sSub>
                    </m:num>
                    <m:den>
                      <m:r>
                        <m:t>a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cos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sun-synchronous orbit chooses the inclination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so that this precession equals Earth’s mean</w:t>
      </w:r>
      <w:r>
        <w:t xml:space="preserve"> </w:t>
      </w:r>
      <w:r>
        <w:t xml:space="preserve">rate about the Sun,</w:t>
      </w:r>
      <w:r>
        <w:t xml:space="preserve"> </w:t>
      </w:r>
      <m:oMath>
        <m:sSub>
          <m:e>
            <m:acc>
              <m:accPr>
                <m:chr m:val="̇"/>
              </m:accPr>
              <m:e>
                <m:r>
                  <m:rPr>
                    <m:sty m:val="p"/>
                  </m:rPr>
                  <m:t>Ω</m:t>
                </m:r>
              </m:e>
            </m:acc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2</m:t>
        </m:r>
        <m:r>
          <m:t>π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365.2422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1.991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t> </m:t>
        </m:r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d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acc>
          <m:accPr>
            <m:chr m:val="̇"/>
          </m:accPr>
          <m:e>
            <m:r>
              <m:rPr>
                <m:sty m:val="p"/>
              </m:rPr>
              <m:t>Ω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̇"/>
              </m:accPr>
              <m:e>
                <m:r>
                  <m:rPr>
                    <m:sty m:val="p"/>
                  </m:rPr>
                  <m:t>Ω</m:t>
                </m:r>
              </m:e>
            </m:acc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and solving,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i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 </m:t>
              </m:r>
              <m:sSub>
                <m:e>
                  <m:acc>
                    <m:accPr>
                      <m:chr m:val="̇"/>
                    </m:accPr>
                    <m:e>
                      <m:r>
                        <m:rPr>
                          <m:sty m:val="p"/>
                        </m:rPr>
                        <m:t>Ω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n</m:t>
                  </m:r>
                </m:sub>
              </m:sSub>
              <m:r>
                <m:t> 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  <m:r>
                <m:t> </m:t>
              </m:r>
              <m:r>
                <m:t>n</m:t>
              </m:r>
              <m:r>
                <m:t> </m:t>
              </m:r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bSup>
                <m:e>
                  <m:r>
                    <m:t>R</m:t>
                  </m:r>
                </m:e>
                <m:sub>
                  <m:r>
                    <m:t>E</m:t>
                  </m:r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negative sign forces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 a retrograde, near-polar orbit. At 650 km,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1.074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d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t xml:space="preserve"> </w:t>
      </w:r>
      <w:r>
        <w:t xml:space="preserve">and (5.2) gives</w:t>
      </w:r>
      <w:r>
        <w:t xml:space="preserve"> </w:t>
      </w:r>
      <m:oMath>
        <m:r>
          <m:rPr>
            <m:sty m:val="p"/>
          </m:rPr>
          <m:t>cos</m:t>
        </m:r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0.139</m:t>
        </m:r>
      </m:oMath>
      <w:r>
        <w:t xml:space="preserve">, hence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sSup>
          <m:e>
            <m:r>
              <m:t>98.0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</w:t>
      </w:r>
      <w:r>
        <w:t xml:space="preserve"> </w:t>
      </w:r>
      <w:r>
        <w:t xml:space="preserve">matching the reference mission. The dawn-dusk variant orients the orbital plane near Earth’s</w:t>
      </w:r>
      <w:r>
        <w:t xml:space="preserve"> </w:t>
      </w:r>
      <w:r>
        <w:t xml:space="preserve">terminator, which (Chapter 6) yields nearly continuous sunlight and minimal thermal cycling, a</w:t>
      </w:r>
      <w:r>
        <w:t xml:space="preserve"> </w:t>
      </w:r>
      <w:r>
        <w:t xml:space="preserve">decisive advantage for a high-power, thermally sensitive payload.</w:t>
      </w:r>
    </w:p>
    <w:bookmarkEnd w:id="22"/>
    <w:bookmarkStart w:id="26" w:name="X5d8eb5df9ce872601c783d8f232c04d346f88c7"/>
    <w:p>
      <w:pPr>
        <w:pStyle w:val="Heading2"/>
      </w:pPr>
      <w:r>
        <w:t xml:space="preserve">6. Eclipse geometry and the dawn-dusk advantage</w:t>
      </w:r>
    </w:p>
    <w:p>
      <w:pPr>
        <w:pStyle w:val="FirstParagraph"/>
      </w:pPr>
      <w:r>
        <w:t xml:space="preserve">The fraction of each orbit spent in Earth’s shadow is set by the beta angle</w:t>
      </w:r>
      <w:r>
        <w:t xml:space="preserve"> </w:t>
      </w:r>
      <m:oMath>
        <m:r>
          <m:t>β</m:t>
        </m:r>
      </m:oMath>
      <w:r>
        <w:t xml:space="preserve">, the angle</w:t>
      </w:r>
      <w:r>
        <w:t xml:space="preserve"> </w:t>
      </w:r>
      <w:r>
        <w:t xml:space="preserve">between the orbital plane and the Sun line. A satellite avoids eclipse entirely when</w:t>
      </w:r>
      <w:r>
        <w:t xml:space="preserve"> </w:t>
      </w:r>
      <m:oMath>
        <m:r>
          <m:rPr>
            <m:sty m:val="p"/>
          </m:rPr>
          <m:t>|</m:t>
        </m:r>
        <m:r>
          <m:t>β</m:t>
        </m:r>
        <m:r>
          <m:rPr>
            <m:sty m:val="p"/>
          </m:rPr>
          <m:t>|</m:t>
        </m:r>
      </m:oMath>
      <w:r>
        <w:t xml:space="preserve"> </w:t>
      </w:r>
      <w:r>
        <w:t xml:space="preserve">exceeds the critical value at which the orbit just grazes Earth’s limb: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β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arcsin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E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p"/>
          </m:rPr>
          <m:t>|</m:t>
        </m:r>
        <m:r>
          <m:t>β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β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sunlit fraction of the orbit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π</m:t>
              </m:r>
            </m:den>
          </m:f>
          <m:sSup>
            <m:e>
              <m:r>
                <m:rPr>
                  <m:sty m:val="p"/>
                </m:rPr>
                <m:t>cos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h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E</m:t>
                          </m:r>
                        </m:sub>
                      </m:sSub>
                      <m:r>
                        <m:t>h</m:t>
                      </m:r>
                    </m:e>
                  </m:rad>
                </m:num>
                <m:den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β</m:t>
                  </m:r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650 km,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arcsin</m:t>
        </m:r>
        <m:r>
          <m:rPr>
            <m:sty m:val="p"/>
          </m:rPr>
          <m:t>(</m:t>
        </m:r>
        <m:r>
          <m:t>6371</m:t>
        </m:r>
        <m:r>
          <m:rPr>
            <m:sty m:val="p"/>
          </m:rPr>
          <m:t>/</m:t>
        </m:r>
        <m:r>
          <m:t>7021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65.1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 A dawn-dusk sun-synchronous orbit holds</w:t>
      </w:r>
      <w:r>
        <w:t xml:space="preserve"> </w:t>
      </w:r>
      <m:oMath>
        <m:r>
          <m:rPr>
            <m:sty m:val="p"/>
          </m:rPr>
          <m:t>|</m:t>
        </m:r>
        <m:r>
          <m:t>β</m:t>
        </m:r>
        <m:r>
          <m:rPr>
            <m:sty m:val="p"/>
          </m:rPr>
          <m:t>|</m:t>
        </m:r>
      </m:oMath>
      <w:r>
        <w:t xml:space="preserve"> </w:t>
      </w:r>
      <w:r>
        <w:t xml:space="preserve">near</w:t>
      </w:r>
      <w:r>
        <w:t xml:space="preserve"> </w:t>
      </w:r>
      <m:oMath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for most of the year, so</w:t>
      </w:r>
      <w:r>
        <w:t xml:space="preserve"> </w:t>
      </w:r>
      <m:oMath>
        <m:r>
          <m:rPr>
            <m:sty m:val="p"/>
          </m:rPr>
          <m:t>|</m:t>
        </m:r>
        <m:r>
          <m:t>β</m:t>
        </m:r>
        <m:r>
          <m:rPr>
            <m:sty m:val="p"/>
          </m:rPr>
          <m:t>|</m:t>
        </m:r>
        <m:r>
          <m:rPr>
            <m:sty m:val="p"/>
          </m:rPr>
          <m:t>&gt;</m:t>
        </m:r>
        <m:sSup>
          <m:e>
            <m:r>
              <m:t>β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illumination exceeds ninety-five percent, the battery need is minimal (Chapter 11), and the</w:t>
      </w:r>
      <w:r>
        <w:t xml:space="preserve"> </w:t>
      </w:r>
      <w:r>
        <w:t xml:space="preserve">thermal environment is nearly steady, justifying the quasi-steady thermal treatment of Chapter 10.</w:t>
      </w:r>
      <w:r>
        <w:t xml:space="preserve"> </w:t>
      </w:r>
      <w:r>
        <w:t xml:space="preserve">This is the single most favorable environmental choice available to the architecture.</w:t>
      </w:r>
    </w:p>
    <w:p>
      <w:pPr>
        <w:pStyle w:val="CaptionedFigure"/>
      </w:pPr>
      <w:r>
        <w:drawing>
          <wp:inline>
            <wp:extent cx="5334000" cy="2456668"/>
            <wp:effectExtent b="0" l="0" r="0" t="0"/>
            <wp:docPr descr="Fig. 6.1 Critical beta angle versus altitude, and eclipse fraction versus beta at 650 km. A dawn-dusk orbit holds the beta angle high, so the satellite stays sunlit." title="" id="24" name="Picture"/>
            <a:graphic>
              <a:graphicData uri="http://schemas.openxmlformats.org/drawingml/2006/picture">
                <pic:pic>
                  <pic:nvPicPr>
                    <pic:cNvPr descr="figures2/figA1_eclipse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6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6.1 Critical beta angle versus altitude, and eclipse fraction versus beta at 650 km. A dawn-dusk orbit holds the beta angle high, so the satellite stays sunlit.</w:t>
      </w:r>
    </w:p>
    <w:bookmarkEnd w:id="26"/>
    <w:bookmarkStart w:id="30" w:name="the-neutral-atmosphere-and-orbital-decay"/>
    <w:p>
      <w:pPr>
        <w:pStyle w:val="Heading2"/>
      </w:pPr>
      <w:r>
        <w:t xml:space="preserve">7. The neutral atmosphere and orbital decay</w:t>
      </w:r>
    </w:p>
    <w:p>
      <w:pPr>
        <w:pStyle w:val="FirstParagraph"/>
      </w:pPr>
      <w:r>
        <w:t xml:space="preserve">Even at 650 km a tenuous atmosphere remains, and the drag it exerts slowly lowers the orbit. This</w:t>
      </w:r>
      <w:r>
        <w:t xml:space="preserve"> </w:t>
      </w:r>
      <w:r>
        <w:t xml:space="preserve">chapter derives the decay rate and integrates it to a mission lifetime, a result that proves</w:t>
      </w:r>
      <w:r>
        <w:t xml:space="preserve"> </w:t>
      </w:r>
      <w:r>
        <w:t xml:space="preserve">decisive for regulatory compliance.</w:t>
      </w:r>
    </w:p>
    <w:p>
      <w:pPr>
        <w:pStyle w:val="BodyText"/>
      </w:pPr>
      <w:r>
        <w:rPr>
          <w:b/>
          <w:bCs/>
        </w:rPr>
        <w:t xml:space="preserve">Drag force and specific deceleration.</w:t>
      </w:r>
      <w:r>
        <w:t xml:space="preserve"> </w:t>
      </w:r>
      <w:r>
        <w:t xml:space="preserve">A body of cross-section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moving at speed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through gas</w:t>
      </w:r>
      <w:r>
        <w:t xml:space="preserve"> </w:t>
      </w:r>
      <w:r>
        <w:t xml:space="preserve">of density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feels a drag force opposing its velocity: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r>
            <m:t>ρ</m:t>
          </m:r>
          <m:r>
            <m:t> </m:t>
          </m:r>
          <m:sSup>
            <m:e>
              <m:r>
                <m:t>v</m:t>
              </m:r>
            </m:e>
            <m:sup>
              <m:r>
                <m:t>2</m:t>
              </m:r>
            </m:sup>
          </m:sSup>
          <m:r>
            <m:t> </m:t>
          </m:r>
          <m:sSub>
            <m:e>
              <m:r>
                <m:t>C</m:t>
              </m:r>
            </m:e>
            <m:sub>
              <m:r>
                <m:t>D</m:t>
              </m:r>
            </m:sub>
          </m:sSub>
          <m:r>
            <m:t> </m:t>
          </m:r>
          <m:r>
            <m:t>A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</m:sub>
        </m:sSub>
        <m:r>
          <m:rPr>
            <m:sty m:val="p"/>
          </m:rPr>
          <m:t>≈</m:t>
        </m:r>
        <m:r>
          <m:t>2.2</m:t>
        </m:r>
      </m:oMath>
      <w:r>
        <w:t xml:space="preserve"> </w:t>
      </w:r>
      <w:r>
        <w:t xml:space="preserve">in the free-molecular regime. The specific (per-mass) deceleration is</w:t>
      </w:r>
      <w:r>
        <w:t xml:space="preserve"> </w:t>
      </w:r>
      <m:oMath>
        <m:sSub>
          <m:e>
            <m:r>
              <m:t>a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D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ρ</m:t>
        </m:r>
        <m:sSup>
          <m:e>
            <m:r>
              <m:t>v</m:t>
            </m:r>
          </m:e>
          <m:sup>
            <m:r>
              <m:t>2</m:t>
            </m:r>
          </m:sup>
        </m:sSup>
        <m:sSub>
          <m:e>
            <m:r>
              <m:t>C</m:t>
            </m:r>
          </m:e>
          <m:sub>
            <m:r>
              <m:t>D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 of the decay rate.</w:t>
      </w:r>
      <w:r>
        <w:t xml:space="preserve"> </w:t>
      </w:r>
      <w:r>
        <w:t xml:space="preserve">Drag does negative work at the rate (force times speed, per unit</w:t>
      </w:r>
      <w:r>
        <w:t xml:space="preserve"> </w:t>
      </w:r>
      <w:r>
        <w:t xml:space="preserve">mass):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cr m:val="script"/>
                  <m:sty m:val="p"/>
                </m:rPr>
                <m:t>E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D</m:t>
              </m:r>
            </m:sub>
          </m:sSub>
          <m:r>
            <m:t> </m:t>
          </m:r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r>
            <m:t>ρ</m:t>
          </m:r>
          <m:r>
            <m:t> </m:t>
          </m:r>
          <m:sSub>
            <m:e>
              <m:r>
                <m:t>C</m:t>
              </m:r>
            </m:e>
            <m:sub>
              <m:r>
                <m:t>D</m:t>
              </m:r>
            </m:sub>
          </m:sSub>
          <m:r>
            <m:t> 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m</m:t>
              </m:r>
            </m:den>
          </m:f>
          <m:r>
            <m:t> </m:t>
          </m:r>
          <m:sSup>
            <m:e>
              <m:r>
                <m:t>v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near-circular orbit</w:t>
      </w:r>
      <w:r>
        <w:t xml:space="preserve"> </w:t>
      </w:r>
      <m:oMath>
        <m:r>
          <m:rPr>
            <m:scr m:val="script"/>
            <m:sty m:val="p"/>
          </m:rPr>
          <m:t>E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/</m:t>
        </m:r>
        <m:r>
          <m:t>2</m:t>
        </m:r>
        <m:r>
          <m:t>a</m:t>
        </m:r>
      </m:oMath>
      <w:r>
        <w:t xml:space="preserve">, so</w:t>
      </w:r>
      <w:r>
        <w:t xml:space="preserve"> </w:t>
      </w:r>
      <m:oMath>
        <m:r>
          <m:t>d</m:t>
        </m:r>
        <m:r>
          <m:rPr>
            <m:scr m:val="script"/>
            <m:sty m:val="p"/>
          </m:rPr>
          <m:t>E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/</m:t>
        </m:r>
        <m:r>
          <m:t>2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acc>
          <m:accPr>
            <m:chr m:val="̇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Equating with (7.2) and substituting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μ</m:t>
            </m:r>
            <m:r>
              <m:rPr>
                <m:sty m:val="p"/>
              </m:rPr>
              <m:t>/</m:t>
            </m:r>
            <m:r>
              <m:t>a</m:t>
            </m:r>
          </m:e>
        </m:rad>
      </m:oMath>
      <w:r>
        <w:t xml:space="preserve"> </w:t>
      </w:r>
      <w:r>
        <w:t xml:space="preserve">so that</w:t>
      </w:r>
      <w:r>
        <w:t xml:space="preserve"> </w:t>
      </w:r>
      <m:oMath>
        <m:sSup>
          <m:e>
            <m:r>
              <m:t>v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/</m:t>
        </m:r>
        <m: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μ</m:t>
              </m:r>
            </m:num>
            <m:den>
              <m:r>
                <m:t>2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f>
            <m:fPr>
              <m:type m:val="bar"/>
            </m:fPr>
            <m:num>
              <m:r>
                <m:t>d</m:t>
              </m:r>
              <m:r>
                <m:t>a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ρ</m:t>
          </m:r>
          <m:sSub>
            <m:e>
              <m:r>
                <m:t>C</m:t>
              </m:r>
            </m:e>
            <m:sub>
              <m:r>
                <m:t>D</m:t>
              </m:r>
            </m:sub>
          </m:sSub>
          <m:f>
            <m:fPr>
              <m:type m:val="bar"/>
            </m:fPr>
            <m:num>
              <m:r>
                <m:t>A</m:t>
              </m:r>
            </m:num>
            <m:den>
              <m:r>
                <m:t>m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a</m:t>
                      </m:r>
                    </m:den>
                  </m:f>
                </m:e>
              </m:d>
            </m:e>
            <m:sup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⇒</m:t>
          </m:r>
          <m:r>
            <m:t> </m:t>
          </m:r>
          <m:f>
            <m:fPr>
              <m:type m:val="bar"/>
            </m:fPr>
            <m:num>
              <m:r>
                <m:t>d</m:t>
              </m:r>
              <m:r>
                <m:t>a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 </m:t>
          </m:r>
          <m:sSub>
            <m:e>
              <m:r>
                <m:t>C</m:t>
              </m:r>
            </m:e>
            <m:sub>
              <m:r>
                <m:t>D</m:t>
              </m:r>
            </m:sub>
          </m:sSub>
          <m:r>
            <m:t> 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m</m:t>
              </m:r>
            </m:den>
          </m:f>
          <m:r>
            <m:t> </m:t>
          </m:r>
          <m:r>
            <m:t>ρ</m:t>
          </m:r>
          <m:r>
            <m:rPr>
              <m:sty m:val="p"/>
            </m:rPr>
            <m:t>(</m:t>
          </m:r>
          <m:r>
            <m:t>h</m:t>
          </m:r>
          <m:r>
            <m:rPr>
              <m:sty m:val="p"/>
            </m:rPr>
            <m:t>)</m:t>
          </m:r>
          <m:r>
            <m:t> </m:t>
          </m:r>
          <m:rad>
            <m:radPr>
              <m:degHide m:val="on"/>
            </m:radPr>
            <m:deg/>
            <m:e>
              <m:r>
                <m:t>μ</m:t>
              </m:r>
              <m:r>
                <m:t> </m:t>
              </m:r>
              <m:r>
                <m:t>a</m:t>
              </m:r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rises steeply as the orbit lowers, the decay accelerates and terminates in a</w:t>
      </w:r>
      <w:r>
        <w:t xml:space="preserve"> </w:t>
      </w:r>
      <w:r>
        <w:t xml:space="preserve">rapid re-entry. The per-revolution contraction is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b>
        </m:sSub>
        <m:r>
          <m:rPr>
            <m:sty m:val="p"/>
          </m:rPr>
          <m:t>=</m:t>
        </m:r>
        <m:acc>
          <m:accPr>
            <m:chr m:val="̇"/>
          </m:accPr>
          <m:e>
            <m:r>
              <m:t>a</m:t>
            </m:r>
          </m:e>
        </m:acc>
        <m:r>
          <m:t> 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π</m:t>
        </m:r>
        <m:sSub>
          <m:e>
            <m:r>
              <m:t>C</m:t>
            </m:r>
          </m:e>
          <m:sub>
            <m:r>
              <m:t>D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)</m:t>
        </m:r>
        <m:r>
          <m:t>ρ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Atmosphere model and solar-cycle uncertainty.</w:t>
      </w:r>
      <w:r>
        <w:t xml:space="preserve"> </w:t>
      </w:r>
      <w:r>
        <w:t xml:space="preserve">The density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taken from the NRLMSIS</w:t>
      </w:r>
      <w:r>
        <w:t xml:space="preserve"> </w:t>
      </w:r>
      <w:r>
        <w:t xml:space="preserve">2.1 empirical model, interpolated log-linearly between anchors at 600, 650, 700, and 800 km for</w:t>
      </w:r>
      <w:r>
        <w:t xml:space="preserve"> </w:t>
      </w:r>
      <w:r>
        <w:t xml:space="preserve">three levels of solar activity. The crucial feature is that density at this altitude varies by</w:t>
      </w:r>
      <w:r>
        <w:t xml:space="preserve"> </w:t>
      </w:r>
      <w:r>
        <w:t xml:space="preserve">roughly a factor of one hundred between solar minimum and solar maximum. This single fact dominates</w:t>
      </w:r>
      <w:r>
        <w:t xml:space="preserve"> </w:t>
      </w:r>
      <w:r>
        <w:t xml:space="preserve">the uncertainty in lifetime, drag make-up, and station-keeping, and is therefore propagated</w:t>
      </w:r>
      <w:r>
        <w:t xml:space="preserve"> </w:t>
      </w:r>
      <w:r>
        <w:t xml:space="preserve">explicitly as a band rather than collapsed to a point.</w:t>
      </w:r>
    </w:p>
    <w:p>
      <w:pPr>
        <w:pStyle w:val="BodyText"/>
      </w:pPr>
      <w:r>
        <w:rPr>
          <w:b/>
          <w:bCs/>
        </w:rPr>
        <w:t xml:space="preserve">Numerical solution and result.</w:t>
      </w:r>
      <w:r>
        <w:t xml:space="preserve"> </w:t>
      </w:r>
      <w:r>
        <w:t xml:space="preserve">Equation (7.3) is integrated by adaptive forward Euler to a</w:t>
      </w:r>
      <w:r>
        <w:t xml:space="preserve"> </w:t>
      </w:r>
      <w:r>
        <w:t xml:space="preserve">re-entry altitude of 120 km. For the reference bus, with an area-to-mass ratio of</w:t>
      </w:r>
      <w:r>
        <w:t xml:space="preserve"> </w:t>
      </w:r>
      <m:oMath>
        <m:r>
          <m:t>0.0084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2.2</m:t>
        </m:r>
      </m:oMath>
      <w:r>
        <w:t xml:space="preserve">, the natural lifetime at 650 km is approximately</w:t>
      </w:r>
      <w:r>
        <w:t xml:space="preserve"> </w:t>
      </w:r>
      <w:r>
        <w:rPr>
          <w:b/>
          <w:bCs/>
        </w:rPr>
        <w:t xml:space="preserve">twenty-two years</w:t>
      </w:r>
      <w:r>
        <w:t xml:space="preserve"> </w:t>
      </w:r>
      <w:r>
        <w:t xml:space="preserve">at moderate solar activity, about four years at solar maximum, and over three</w:t>
      </w:r>
      <w:r>
        <w:t xml:space="preserve"> </w:t>
      </w:r>
      <w:r>
        <w:t xml:space="preserve">hundred years at solar minimum (Fig. 7.1). The regulatory consequence is severe: the United States</w:t>
      </w:r>
      <w:r>
        <w:t xml:space="preserve"> </w:t>
      </w:r>
      <w:r>
        <w:t xml:space="preserve">Federal Communications Commission now requires disposal within five years (Chapter 15), so only a</w:t>
      </w:r>
      <w:r>
        <w:t xml:space="preserve"> </w:t>
      </w:r>
      <w:r>
        <w:t xml:space="preserve">satellite that happens to launch into a solar maximum approaches passive compliance.</w:t>
      </w:r>
      <w:r>
        <w:t xml:space="preserve"> </w:t>
      </w:r>
      <w:r>
        <w:rPr>
          <w:b/>
          <w:bCs/>
        </w:rPr>
        <w:t xml:space="preserve">Active</w:t>
      </w:r>
      <w:r>
        <w:rPr>
          <w:b/>
          <w:bCs/>
        </w:rPr>
        <w:t xml:space="preserve"> </w:t>
      </w:r>
      <w:r>
        <w:rPr>
          <w:b/>
          <w:bCs/>
        </w:rPr>
        <w:t xml:space="preserve">de-orbit propulsion is therefore mandatory, not optional</w:t>
      </w:r>
      <w:r>
        <w:t xml:space="preserve">, a conclusion that propagates into the</w:t>
      </w:r>
      <w:r>
        <w:t xml:space="preserve"> </w:t>
      </w:r>
      <w:r>
        <w:t xml:space="preserve">mass and economic budgets.</w:t>
      </w:r>
    </w:p>
    <w:p>
      <w:pPr>
        <w:pStyle w:val="CaptionedFigure"/>
      </w:pPr>
      <w:r>
        <w:drawing>
          <wp:inline>
            <wp:extent cx="5334000" cy="3698864"/>
            <wp:effectExtent b="0" l="0" r="0" t="0"/>
            <wp:docPr descr="Fig. 7.1, Natural orbital lifetime versus altitude with the solar-cycle uncertainty band; at 650 km the realistic lifetime fails the five-year disposal rule." title="" id="28" name="Picture"/>
            <a:graphic>
              <a:graphicData uri="http://schemas.openxmlformats.org/drawingml/2006/picture">
                <pic:pic>
                  <pic:nvPicPr>
                    <pic:cNvPr descr="figures/fig1_orbital_decay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8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7.1, Natural orbital lifetime versus altitude with the solar-cycle uncertainty band; at 650 km the realistic lifetime fails the five-year disposal rule.</w:t>
      </w:r>
    </w:p>
    <w:bookmarkEnd w:id="30"/>
    <w:bookmarkStart w:id="34" w:name="the-ionizing-radiation-environment"/>
    <w:p>
      <w:pPr>
        <w:pStyle w:val="Heading2"/>
      </w:pPr>
      <w:r>
        <w:t xml:space="preserve">8. The ionizing-radiation environment</w:t>
      </w:r>
    </w:p>
    <w:p>
      <w:pPr>
        <w:pStyle w:val="FirstParagraph"/>
      </w:pPr>
      <w:r>
        <w:t xml:space="preserve">Two physically distinct radiation effects matter: the slow accumulation of total ionizing dose,</w:t>
      </w:r>
      <w:r>
        <w:t xml:space="preserve"> </w:t>
      </w:r>
      <w:r>
        <w:t xml:space="preserve">which is a shielding problem, and the stochastic flipping of bits by energetic particles, which is</w:t>
      </w:r>
      <w:r>
        <w:t xml:space="preserve"> </w:t>
      </w:r>
      <w:r>
        <w:t xml:space="preserve">a reliability and throughput problem.</w:t>
      </w:r>
    </w:p>
    <w:p>
      <w:pPr>
        <w:pStyle w:val="BodyText"/>
      </w:pPr>
      <w:r>
        <w:rPr>
          <w:b/>
          <w:bCs/>
        </w:rPr>
        <w:t xml:space="preserve">Dose versus shielding.</w:t>
      </w:r>
      <w:r>
        <w:t xml:space="preserve"> </w:t>
      </w:r>
      <w:r>
        <w:t xml:space="preserve">Behind aluminium of thickness</w:t>
      </w:r>
      <w:r>
        <w:t xml:space="preserve"> </w:t>
      </w:r>
      <m:oMath>
        <m:r>
          <m:t>x</m:t>
        </m:r>
      </m:oMath>
      <w:r>
        <w:t xml:space="preserve">, the trapped-electron contribution to</w:t>
      </w:r>
      <w:r>
        <w:t xml:space="preserve"> </w:t>
      </w:r>
      <w:r>
        <w:t xml:space="preserve">dose attenuates quasi-exponentially atop a floor set by penetrating protons and bremsstrahlung: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̇"/>
            </m:accPr>
            <m:e>
              <m:r>
                <m:t>D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t> 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λ</m:t>
              </m:r>
            </m:sup>
          </m:sSup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λ</m:t>
          </m:r>
          <m:r>
            <m:rPr>
              <m:sty m:val="p"/>
            </m:rPr>
            <m:t>≈</m:t>
          </m:r>
          <m:r>
            <m:t>1.7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constants are calibrated so that the deep-shield floor matches the proton-dominated value of</w:t>
      </w:r>
      <w:r>
        <w:t xml:space="preserve"> </w:t>
      </w:r>
      <w:r>
        <w:t xml:space="preserve">roughly 100 to 150 rad(Si) per year measured by flight dosimeters in comparable sun-synchronous</w:t>
      </w:r>
      <w:r>
        <w:t xml:space="preserve"> </w:t>
      </w:r>
      <w:r>
        <w:t xml:space="preserve">orbits and consistent with the reference mission’s own estimate. The canonical engineering tool for</w:t>
      </w:r>
      <w:r>
        <w:t xml:space="preserve"> </w:t>
      </w:r>
      <w:r>
        <w:t xml:space="preserve">this curve is SHIELDOSE-2 with an AE8/AP8 or AE9/AP9 trapped-particle environment.</w:t>
      </w:r>
    </w:p>
    <w:p>
      <w:pPr>
        <w:pStyle w:val="BodyText"/>
      </w:pPr>
      <w:r>
        <w:rPr>
          <w:b/>
          <w:bCs/>
        </w:rPr>
        <w:t xml:space="preserve">Result and margin.</w:t>
      </w:r>
      <w:r>
        <w:t xml:space="preserve"> </w:t>
      </w:r>
      <w:r>
        <w:t xml:space="preserve">At 10 mm of aluminium, the five-year cumulative dose is approximately 1.06</w:t>
      </w:r>
      <w:r>
        <w:t xml:space="preserve"> </w:t>
      </w:r>
      <w:r>
        <w:t xml:space="preserve">krad(Si). The reference mission reports that its processor’s most sensitive subsystem, the</w:t>
      </w:r>
      <w:r>
        <w:t xml:space="preserve"> </w:t>
      </w:r>
      <w:r>
        <w:t xml:space="preserve">high-bandwidth memory, first showed irregularities at 2 krad(Si), about three times the 750</w:t>
      </w:r>
      <w:r>
        <w:t xml:space="preserve"> </w:t>
      </w:r>
      <w:r>
        <w:t xml:space="preserve">rad(Si) five-year requirement, and exhibited no hard failures up to the maximum tested dose of 15</w:t>
      </w:r>
      <w:r>
        <w:t xml:space="preserve"> </w:t>
      </w:r>
      <w:r>
        <w:t xml:space="preserve">krad(Si). The margin is therefore large: roughly a factor of two to the first-irregularity</w:t>
      </w:r>
      <w:r>
        <w:t xml:space="preserve"> </w:t>
      </w:r>
      <w:r>
        <w:t xml:space="preserve">threshold and an order of magnitude to the no-hard-failure level. Total ionizing dose is comfortably</w:t>
      </w:r>
      <w:r>
        <w:t xml:space="preserve"> </w:t>
      </w:r>
      <w:r>
        <w:t xml:space="preserve">survivable for a five-year mission with sensible shielding.</w:t>
      </w:r>
    </w:p>
    <w:p>
      <w:pPr>
        <w:pStyle w:val="CaptionedFigure"/>
      </w:pPr>
      <w:r>
        <w:drawing>
          <wp:inline>
            <wp:extent cx="5334000" cy="3427984"/>
            <wp:effectExtent b="0" l="0" r="0" t="0"/>
            <wp:docPr descr="Fig. 8.1 Cumulative five-year ionizing dose versus aluminium shielding, with the memory tolerance and the mission requirement marked. Ten millimeters of aluminium keeps the dose well below the first-irregularity threshold." title="" id="32" name="Picture"/>
            <a:graphic>
              <a:graphicData uri="http://schemas.openxmlformats.org/drawingml/2006/picture">
                <pic:pic>
                  <pic:nvPicPr>
                    <pic:cNvPr descr="figures2/figA5_dos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7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8.1 Cumulative five-year ionizing dose versus aluminium shielding, with the memory tolerance and the mission requirement marked. Ten millimeters of aluminium keeps the dose well below the first-irregularity threshold.</w:t>
      </w:r>
    </w:p>
    <w:p>
      <w:pPr>
        <w:pStyle w:val="BodyText"/>
      </w:pPr>
      <w:r>
        <w:rPr>
          <w:b/>
          <w:bCs/>
        </w:rPr>
        <w:t xml:space="preserve">Single-event effects.</w:t>
      </w:r>
      <w:r>
        <w:t xml:space="preserve"> </w:t>
      </w:r>
      <w:r>
        <w:t xml:space="preserve">Energetic protons and heavy ions, concentrated in the South Atlantic</w:t>
      </w:r>
      <w:r>
        <w:t xml:space="preserve"> </w:t>
      </w:r>
      <w:r>
        <w:t xml:space="preserve">Anomaly and the polar horns, deposit charge that flips memory and logic states. The upset rate</w:t>
      </w:r>
      <w:r>
        <w:t xml:space="preserve"> </w:t>
      </w:r>
      <w:r>
        <w:t xml:space="preserve">scales as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U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U</m:t>
            </m:r>
          </m:sub>
        </m:sSub>
        <m:r>
          <m:t> </m:t>
        </m:r>
        <m:r>
          <m:t>ϕ</m:t>
        </m:r>
        <m:r>
          <m:t> </m:t>
        </m:r>
        <m:sSub>
          <m:e>
            <m:r>
              <m:t>N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s</m:t>
            </m:r>
          </m:sub>
        </m:sSub>
      </m:oMath>
      <w:r>
        <w:t xml:space="preserve">, the product of the</w:t>
      </w:r>
      <w:r>
        <w:t xml:space="preserve"> </w:t>
      </w:r>
      <w:r>
        <w:t xml:space="preserve">per-bit cross-section, the particle flux, and the number of bits. The key enabling insight, treated</w:t>
      </w:r>
      <w:r>
        <w:t xml:space="preserve"> </w:t>
      </w:r>
      <w:r>
        <w:t xml:space="preserve">quantitatively in Chapter 17, is that AI inference tolerates bit errors far better than traditional</w:t>
      </w:r>
      <w:r>
        <w:t xml:space="preserve"> </w:t>
      </w:r>
      <w:r>
        <w:t xml:space="preserve">high-performance computing; the optimal architecture is therefore error-correcting memory with</w:t>
      </w:r>
      <w:r>
        <w:t xml:space="preserve"> </w:t>
      </w:r>
      <w:r>
        <w:t xml:space="preserve">checkpointing, not full hardware redundancy. The residual cost is a throughput tax of order ten to</w:t>
      </w:r>
      <w:r>
        <w:t xml:space="preserve"> </w:t>
      </w:r>
      <w:r>
        <w:t xml:space="preserve">twenty percent, which must be carried explicitly in any efficiency figure.</w:t>
      </w:r>
    </w:p>
    <w:bookmarkEnd w:id="34"/>
    <w:bookmarkStart w:id="35" w:name="the-orbital-debris-environment"/>
    <w:p>
      <w:pPr>
        <w:pStyle w:val="Heading2"/>
      </w:pPr>
      <w:r>
        <w:t xml:space="preserve">9. The orbital-debris environment</w:t>
      </w:r>
    </w:p>
    <w:p>
      <w:pPr>
        <w:pStyle w:val="FirstParagraph"/>
      </w:pPr>
      <w:r>
        <w:t xml:space="preserve">Low Earth orbit is increasingly congested, and the 650 km sun-synchronous shell is among the most</w:t>
      </w:r>
      <w:r>
        <w:t xml:space="preserve"> </w:t>
      </w:r>
      <w:r>
        <w:t xml:space="preserve">crowded. The European Space Agency’s environment models and NASA’s ORDEM 3.2 are the authoritative</w:t>
      </w:r>
      <w:r>
        <w:t xml:space="preserve"> </w:t>
      </w:r>
      <w:r>
        <w:t xml:space="preserve">flux tools; the latter projects the environment forward to 2050 and covers the relevant altitude</w:t>
      </w:r>
      <w:r>
        <w:t xml:space="preserve"> </w:t>
      </w:r>
      <w:r>
        <w:t xml:space="preserve">and epoch. Catastrophic risk is driven by objects larger than one centimeter, which are lethal at</w:t>
      </w:r>
      <w:r>
        <w:t xml:space="preserve"> </w:t>
      </w:r>
      <w:r>
        <w:t xml:space="preserve">orbital closing speeds yet too small to track and avoid individually.</w:t>
      </w:r>
    </w:p>
    <w:p>
      <w:pPr>
        <w:pStyle w:val="BodyText"/>
      </w:pPr>
      <w:r>
        <w:rPr>
          <w:b/>
          <w:bCs/>
        </w:rPr>
        <w:t xml:space="preserve">Impact probability as a Poisson process.</w:t>
      </w:r>
      <w:r>
        <w:t xml:space="preserve"> </w:t>
      </w:r>
      <w:r>
        <w:t xml:space="preserve">Impacts are rare, independent events. Dividing a</w:t>
      </w:r>
      <w:r>
        <w:t xml:space="preserve"> </w:t>
      </w:r>
      <w:r>
        <w:t xml:space="preserve">mission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short intervals, each with hit probability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Φ</m:t>
        </m:r>
        <m:r>
          <m:t>A</m:t>
        </m:r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(flux times</w:t>
      </w:r>
      <w:r>
        <w:t xml:space="preserve"> </w:t>
      </w:r>
      <w:r>
        <w:t xml:space="preserve">cross-section times time), the number of impacts is binomial; in the limit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→</m:t>
        </m:r>
        <m:r>
          <m:rPr>
            <m:sty m:val="p"/>
          </m:rPr>
          <m:t>Λ</m:t>
        </m:r>
      </m:oMath>
      <w:r>
        <w:t xml:space="preserve"> </w:t>
      </w:r>
      <w:r>
        <w:t xml:space="preserve">it becomes Poisson with mean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rPr>
            <m:sty m:val="p"/>
          </m:rPr>
          <m:t>Φ</m:t>
        </m:r>
        <m:r>
          <m:t>A</m:t>
        </m:r>
        <m:r>
          <m:t>N</m:t>
        </m:r>
        <m:r>
          <m:t>t</m:t>
        </m:r>
      </m:oMath>
      <w:r>
        <w:t xml:space="preserve">, 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</w:t>
      </w:r>
      <w:r>
        <w:t xml:space="preserve"> </w:t>
      </w:r>
      <w:r>
        <w:t xml:space="preserve">satellites. The probability of at least one catastrophic impact in the cluster is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Φ</m:t>
              </m:r>
              <m:r>
                <m:t>A</m:t>
              </m:r>
              <m:r>
                <m:t>N</m:t>
              </m:r>
              <m:r>
                <m:t>t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a model-class flux for objects larger than one centimeter of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y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t xml:space="preserve">, a tumbling-averaged silhouette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15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t xml:space="preserve"> </w:t>
      </w:r>
      <w:r>
        <w:t xml:space="preserve">per satellite,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years, the mean is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0.182</m:t>
        </m:r>
      </m:oMath>
      <w:r>
        <w:t xml:space="preserve"> </w:t>
      </w:r>
      <w:r>
        <w:t xml:space="preserve">and the probability is about seventeen</w:t>
      </w:r>
      <w:r>
        <w:t xml:space="preserve"> </w:t>
      </w:r>
      <w:r>
        <w:t xml:space="preserve">percent, with a model band from six to forty-six percent. The development of the cascade mechanism,</w:t>
      </w:r>
      <w:r>
        <w:t xml:space="preserve"> </w:t>
      </w:r>
      <w:r>
        <w:t xml:space="preserve">the reason the tight formation is dangerous, is given in Chapter 13 and the risk synthesis. The</w:t>
      </w:r>
      <w:r>
        <w:t xml:space="preserve"> </w:t>
      </w:r>
      <w:r>
        <w:t xml:space="preserve">flux used here is model-class; a flight program would run the official ORDEM/MASTER tools for the</w:t>
      </w:r>
      <w:r>
        <w:t xml:space="preserve"> </w:t>
      </w:r>
      <w:r>
        <w:t xml:space="preserve">exact orbit and epoch, as noted in Chapter 24.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75" w:name="part-iii-spacecraft-subsystems"/>
    <w:p>
      <w:pPr>
        <w:pStyle w:val="Heading1"/>
      </w:pPr>
      <w:r>
        <w:t xml:space="preserve">PART III, SPACECRAFT SUBSYSTEMS</w:t>
      </w:r>
    </w:p>
    <w:bookmarkStart w:id="46" w:name="thermal-control"/>
    <w:p>
      <w:pPr>
        <w:pStyle w:val="Heading2"/>
      </w:pPr>
      <w:r>
        <w:t xml:space="preserve">10. Thermal control</w:t>
      </w:r>
    </w:p>
    <w:p>
      <w:pPr>
        <w:pStyle w:val="FirstParagraph"/>
      </w:pPr>
      <w:r>
        <w:t xml:space="preserve">Thermal control is where the orbital data center is most often assumed to be hard and is in fact</w:t>
      </w:r>
      <w:r>
        <w:t xml:space="preserve"> </w:t>
      </w:r>
      <w:r>
        <w:t xml:space="preserve">solved at the single-node scale, but it does not scale for free, and a second, sharper limit</w:t>
      </w:r>
      <w:r>
        <w:t xml:space="preserve"> </w:t>
      </w:r>
      <w:r>
        <w:t xml:space="preserve">appears at the chip interface.</w:t>
      </w:r>
    </w:p>
    <w:p>
      <w:pPr>
        <w:pStyle w:val="BodyText"/>
      </w:pPr>
      <w:r>
        <w:rPr>
          <w:b/>
          <w:bCs/>
        </w:rPr>
        <w:t xml:space="preserve">From Planck’s law to Stefan-Boltzmann.</w:t>
      </w:r>
      <w:r>
        <w:t xml:space="preserve"> </w:t>
      </w:r>
      <w:r>
        <w:t xml:space="preserve">A blackbody emits spectral radiance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λ</m:t>
                  </m:r>
                </m:e>
                <m:sup>
                  <m:r>
                    <m:t>5</m:t>
                  </m:r>
                </m:sup>
              </m:sSup>
            </m:den>
          </m:f>
          <m:r>
            <m:t> 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sSub>
                <m:e>
                  <m:r>
                    <m:t>h</m:t>
                  </m:r>
                </m:e>
                <m:sub>
                  <m:r>
                    <m:t>P</m:t>
                  </m:r>
                </m:sub>
              </m:sSub>
              <m:r>
                <m:t>c</m:t>
              </m:r>
              <m:r>
                <m:rPr>
                  <m:sty m:val="p"/>
                </m:rPr>
                <m:t>/</m:t>
              </m:r>
              <m:r>
                <m:t>λ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Integrating over the emitting hemisphere (the factor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cos</m:t>
        </m:r>
        <m:r>
          <m:t>θ</m:t>
        </m:r>
        <m:r>
          <m:t> </m:t>
        </m:r>
        <m:r>
          <m:t>d</m:t>
        </m:r>
        <m:r>
          <m:rPr>
            <m:sty m:val="p"/>
          </m:rPr>
          <m:t>Ω</m:t>
        </m:r>
      </m:oMath>
      <w:r>
        <w:t xml:space="preserve">) and over</w:t>
      </w:r>
      <w:r>
        <w:t xml:space="preserve"> </w:t>
      </w:r>
      <w:r>
        <w:t xml:space="preserve">all wavelengths gives the hemispherical emissive power,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t>​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B</m:t>
              </m:r>
            </m:e>
          </m:nary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λ</m:t>
          </m:r>
          <m:r>
            <m:rPr>
              <m:sty m:val="p"/>
            </m:rPr>
            <m:t>=</m:t>
          </m:r>
          <m:r>
            <m:t>σ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p>
                <m:e>
                  <m:r>
                    <m:t>π</m:t>
                  </m:r>
                </m:e>
                <m:sup>
                  <m:r>
                    <m:t>5</m:t>
                  </m:r>
                </m:sup>
              </m:sSup>
              <m:sSubSup>
                <m:e>
                  <m:r>
                    <m:t>k</m:t>
                  </m:r>
                </m:e>
                <m:sub>
                  <m:r>
                    <m:t>B</m:t>
                  </m:r>
                </m:sub>
                <m:sup>
                  <m:r>
                    <m:t>4</m:t>
                  </m:r>
                </m:sup>
              </m:sSubSup>
            </m:num>
            <m:den>
              <m:r>
                <m:t>15</m:t>
              </m:r>
              <m:sSubSup>
                <m:e>
                  <m:r>
                    <m:t>h</m:t>
                  </m:r>
                </m:e>
                <m:sub>
                  <m:r>
                    <m:t>P</m:t>
                  </m:r>
                </m:sub>
                <m:sup>
                  <m:r>
                    <m:t>3</m:t>
                  </m:r>
                </m:sup>
              </m:sSubSup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gray surface of emissivity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radiating to the cosmic-microwave-background sink 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B</m:t>
            </m:r>
          </m:sub>
        </m:sSub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ε</m:t>
        </m:r>
        <m:r>
          <m:t>σ</m:t>
        </m:r>
        <m:r>
          <m:t>A</m:t>
        </m:r>
        <m:r>
          <m:rPr>
            <m:sty m:val="p"/>
          </m:rPr>
          <m:t>(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sSubSup>
          <m:e>
            <m:r>
              <m:t>T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B</m:t>
            </m:r>
          </m:sub>
          <m:sup>
            <m:r>
              <m:t>4</m:t>
            </m:r>
          </m:sup>
        </m:sSubSup>
        <m:r>
          <m:rPr>
            <m:sty m:val="p"/>
          </m:rPr>
          <m:t>)</m:t>
        </m:r>
      </m:oMath>
      <w:r>
        <w:t xml:space="preserve">; since</w:t>
      </w:r>
      <w:r>
        <w:t xml:space="preserve"> </w:t>
      </w:r>
      <m:oMath>
        <m:sSubSup>
          <m:e>
            <m:r>
              <m:t>T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B</m:t>
            </m:r>
          </m:sub>
          <m:sup>
            <m:r>
              <m:t>4</m:t>
            </m:r>
          </m:sup>
        </m:sSub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at room temperature, the sink term is negligible.</w:t>
      </w:r>
    </w:p>
    <w:p>
      <w:pPr>
        <w:pStyle w:val="BodyText"/>
      </w:pPr>
      <w:r>
        <w:rPr>
          <w:b/>
          <w:bCs/>
        </w:rPr>
        <w:t xml:space="preserve">Radiator sizing.</w:t>
      </w:r>
      <w:r>
        <w:t xml:space="preserve"> </w:t>
      </w:r>
      <w:r>
        <w:t xml:space="preserve">A deployed radiator radiates from both faces and loses a fraction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its</w:t>
      </w:r>
      <w:r>
        <w:t xml:space="preserve"> </w:t>
      </w:r>
      <w:r>
        <w:t xml:space="preserve">output to absorbed solar, albedo, and Earth-infrared loads (the external loads of Chapter 8 and the</w:t>
      </w:r>
      <w:r>
        <w:t xml:space="preserve"> </w:t>
      </w:r>
      <w:r>
        <w:t xml:space="preserve">view factor below). The net rejected flux per unit one-side area is</w:t>
      </w:r>
      <w:r>
        <w:t xml:space="preserve"> </w:t>
      </w:r>
      <m:oMath>
        <m:r>
          <m:t>ε</m:t>
        </m:r>
        <m:r>
          <m:t>σ</m:t>
        </m:r>
        <m:sSup>
          <m:e>
            <m:r>
              <m:t>T</m:t>
            </m:r>
          </m:e>
          <m:sup>
            <m:r>
              <m:t>4</m:t>
            </m:r>
          </m:sup>
        </m:sSup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f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 so the required area for a heat load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operating temperature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Q</m:t>
              </m:r>
            </m:num>
            <m:den>
              <m:r>
                <m:t>ε</m:t>
              </m:r>
              <m:r>
                <m:t> </m:t>
              </m:r>
              <m:r>
                <m:t>σ</m:t>
              </m:r>
              <m:r>
                <m:t> 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w:r>
        <w:rPr>
          <w:b/>
          <w:bCs/>
        </w:rPr>
        <w:t xml:space="preserve">linear in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: there is no economy of scale in radiative cooling, a fact with profound</w:t>
      </w:r>
      <w:r>
        <w:t xml:space="preserve"> </w:t>
      </w:r>
      <w:r>
        <w:t xml:space="preserve">architectural consequences.</w:t>
      </w:r>
      <w:r>
        <w:t xml:space="preserve"> </w:t>
      </w:r>
      <w:r>
        <w:rPr>
          <w:b/>
          <w:bCs/>
        </w:rPr>
        <w:t xml:space="preserve">Worked example:</w:t>
      </w:r>
      <w:r>
        <w:t xml:space="preserve"> </w:t>
      </w:r>
      <w:r>
        <w:t xml:space="preserve">at 1 MW, 20 C,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0.90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0.12</m:t>
        </m:r>
      </m:oMath>
      <w:r>
        <w:t xml:space="preserve">, the per-side flux is</w:t>
      </w:r>
      <w:r>
        <w:t xml:space="preserve"> </w:t>
      </w:r>
      <m:oMath>
        <m:r>
          <m:t>ε</m:t>
        </m:r>
        <m:r>
          <m:t>σ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376.9</m:t>
        </m:r>
        <m:r>
          <m:t> </m:t>
        </m:r>
        <m:r>
          <m:rPr>
            <m:sty m:val="p"/>
          </m:rPr>
          <m:t>W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t xml:space="preserve">, the net flux is</w:t>
      </w:r>
      <w:r>
        <w:t xml:space="preserve"> </w:t>
      </w:r>
      <m:oMath>
        <m:r>
          <m:t>663.3</m:t>
        </m:r>
        <m:r>
          <m:t> </m:t>
        </m:r>
        <m:r>
          <m:rPr>
            <m:sty m:val="p"/>
          </m:rPr>
          <m:t>W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1508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t xml:space="preserve">. This matches the industry rule</w:t>
      </w:r>
      <w:r>
        <w:t xml:space="preserve"> </w:t>
      </w:r>
      <w:r>
        <w:t xml:space="preserve">of roughly 1,200 m² per megawatt and explains why Starcloud’s gigawatt vision implies</w:t>
      </w:r>
      <w:r>
        <w:t xml:space="preserve"> </w:t>
      </w:r>
      <w:r>
        <w:t xml:space="preserve">multi-kilometer panels.</w:t>
      </w:r>
    </w:p>
    <w:p>
      <w:pPr>
        <w:pStyle w:val="CaptionedFigure"/>
      </w:pPr>
      <w:r>
        <w:drawing>
          <wp:inline>
            <wp:extent cx="5334000" cy="2456668"/>
            <wp:effectExtent b="0" l="0" r="0" t="0"/>
            <wp:docPr descr="Fig. 10.1 Radiator equilibrium temperature versus heat flux, and the radiator area required for one megawatt versus operating temperature. Running hotter reduces area at the cost of silicon lifetime." title="" id="38" name="Picture"/>
            <a:graphic>
              <a:graphicData uri="http://schemas.openxmlformats.org/drawingml/2006/picture">
                <pic:pic>
                  <pic:nvPicPr>
                    <pic:cNvPr descr="figures2/figA3_radiator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6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10.1 Radiator equilibrium temperature versus heat flux, and the radiator area required for one megawatt versus operating temperature. Running hotter reduces area at the cost of silicon lifetime.</w:t>
      </w:r>
    </w:p>
    <w:p>
      <w:pPr>
        <w:pStyle w:val="BodyText"/>
      </w:pPr>
      <w:r>
        <w:rPr>
          <w:b/>
          <w:bCs/>
        </w:rPr>
        <w:t xml:space="preserve">External loads and view factor.</w:t>
      </w:r>
      <w:r>
        <w:t xml:space="preserve"> </w:t>
      </w:r>
      <w:r>
        <w:t xml:space="preserve">A surface at orbital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sees Earth through the view</w:t>
      </w:r>
      <w:r>
        <w:t xml:space="preserve"> </w:t>
      </w: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sSub>
              <m:e>
                <m:r>
                  <m:t>R</m:t>
                </m:r>
              </m:e>
              <m:sub>
                <m:r>
                  <m:t>E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]</m:t>
        </m:r>
      </m:oMath>
      <w:r>
        <w:t xml:space="preserve">, equal to 0.290 at 650 km. The absorbed loads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o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t> </m:t>
        </m:r>
        <m:sSub>
          <m:e>
            <m:r>
              <m:t>a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b</m:t>
            </m:r>
          </m:sub>
        </m:sSub>
        <m:r>
          <m:t> </m:t>
        </m:r>
        <m:r>
          <m:t>F</m:t>
        </m:r>
        <m:r>
          <m:t> </m:t>
        </m:r>
        <m:sSub>
          <m:e>
            <m:r>
              <m:t>α</m:t>
            </m:r>
          </m:e>
          <m:sub>
            <m:r>
              <m:t>s</m:t>
            </m:r>
          </m:sub>
        </m:sSub>
        <m:r>
          <m:t> 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R</m:t>
            </m:r>
          </m:sub>
        </m:sSub>
        <m:r>
          <m:t> </m:t>
        </m:r>
        <m:r>
          <m:t>F</m:t>
        </m:r>
        <m:r>
          <m:t> </m:t>
        </m:r>
        <m:r>
          <m:t>ε</m:t>
        </m:r>
        <m:r>
          <m:t> </m:t>
        </m:r>
        <m:r>
          <m:t>A</m:t>
        </m:r>
      </m:oMath>
      <w:r>
        <w:t xml:space="preserve">; for an edge-on radiator the direct-solar term vanishes. With</w:t>
      </w:r>
      <w:r>
        <w:t xml:space="preserve"> </w:t>
      </w:r>
      <m:oMath>
        <m:sSub>
          <m:e>
            <m:r>
              <m:t>α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0.15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4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t xml:space="preserve"> </w:t>
      </w:r>
      <w:r>
        <w:t xml:space="preserve">these are about 71 W and 251 W respectively, which the</w:t>
      </w:r>
      <w:r>
        <w:t xml:space="preserve"> </w:t>
      </w:r>
      <w:r>
        <w:t xml:space="preserve">design lumps to roughly 100 W of parasitic load.</w:t>
      </w:r>
    </w:p>
    <w:p>
      <w:pPr>
        <w:pStyle w:val="CaptionedFigure"/>
      </w:pPr>
      <w:r>
        <w:drawing>
          <wp:inline>
            <wp:extent cx="5334000" cy="2459772"/>
            <wp:effectExtent b="0" l="0" r="0" t="0"/>
            <wp:docPr descr="Fig. 10.2 Earth view factor versus altitude, and the combined albedo, Earth-infrared, and solar load on a four-square-meter surface. External loads set the parasitic fraction in the radiator sizing." title="" id="41" name="Picture"/>
            <a:graphic>
              <a:graphicData uri="http://schemas.openxmlformats.org/drawingml/2006/picture">
                <pic:pic>
                  <pic:nvPicPr>
                    <pic:cNvPr descr="figures2/figA2_loads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97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10.2 Earth view factor versus altitude, and the combined albedo, Earth-infrared, and solar load on a four-square-meter surface. External loads set the parasitic fraction in the radiator sizing.</w:t>
      </w:r>
    </w:p>
    <w:p>
      <w:pPr>
        <w:pStyle w:val="BodyText"/>
      </w:pPr>
      <w:r>
        <w:rPr>
          <w:b/>
          <w:bCs/>
        </w:rPr>
        <w:t xml:space="preserve">Inverse problem and Newton-Raphson.</w:t>
      </w:r>
      <w:r>
        <w:t xml:space="preserve"> </w:t>
      </w:r>
      <w:r>
        <w:t xml:space="preserve">When the area is fixed and the temperature is sought, (10.3)</w:t>
      </w:r>
      <w:r>
        <w:t xml:space="preserve"> </w:t>
      </w:r>
      <w:r>
        <w:t xml:space="preserve">becomes a quartic, solved by Newton-Raphson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−</m:t>
        </m:r>
        <m:r>
          <m:t>ε</m:t>
        </m:r>
        <m:r>
          <m:t>σ</m:t>
        </m:r>
        <m:r>
          <m:t>A</m:t>
        </m:r>
        <m:sSup>
          <m:e>
            <m:r>
              <m:t>T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ε</m:t>
        </m:r>
        <m:r>
          <m:t>σ</m:t>
        </m:r>
        <m:r>
          <m:t>A</m:t>
        </m:r>
        <m:sSup>
          <m:e>
            <m:r>
              <m:t>T</m:t>
            </m:r>
          </m:e>
          <m:sup>
            <m:r>
              <m:t>3</m:t>
            </m:r>
          </m:sup>
        </m:sSup>
      </m:oMath>
      <w:r>
        <w:t xml:space="preserve">, converging in two to four iterations from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300</m:t>
        </m:r>
      </m:oMath>
      <w:r>
        <w:t xml:space="preserve"> </w:t>
      </w:r>
      <w:r>
        <w:t xml:space="preserve">K. The</w:t>
      </w:r>
      <w:r>
        <w:t xml:space="preserve"> </w:t>
      </w:r>
      <w:r>
        <w:t xml:space="preserve">first report’s baseline (1450 W on 4 m²,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0.85</m:t>
        </m:r>
      </m:oMath>
      <w:r>
        <w:t xml:space="preserve">, single-sided) yields a radiator</w:t>
      </w:r>
      <w:r>
        <w:t xml:space="preserve"> </w:t>
      </w:r>
      <w:r>
        <w:t xml:space="preserve">temperature of 21.4 C.</w:t>
      </w:r>
    </w:p>
    <w:p>
      <w:pPr>
        <w:pStyle w:val="BodyText"/>
      </w:pPr>
      <w:r>
        <w:rPr>
          <w:b/>
          <w:bCs/>
        </w:rPr>
        <w:t xml:space="preserve">The conductive chain and the interface wall.</w:t>
      </w:r>
      <w:r>
        <w:t xml:space="preserve"> </w:t>
      </w:r>
      <w:r>
        <w:t xml:space="preserve">Heat first travels from the junction to the</w:t>
      </w:r>
      <w:r>
        <w:t xml:space="preserve"> </w:t>
      </w:r>
      <w:r>
        <w:t xml:space="preserve">radiator through series resistances,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+</m:t>
        </m:r>
        <m:r>
          <m:t>Q</m:t>
        </m:r>
        <m:r>
          <m:t> </m:t>
        </m:r>
        <m:sSub>
          <m:e>
            <m:r>
              <m:t>R</m:t>
            </m:r>
          </m:e>
          <m:sub>
            <m:r>
              <m:t>t</m:t>
            </m:r>
            <m:r>
              <m:t>h</m:t>
            </m:r>
          </m:sub>
        </m:sSub>
      </m:oMath>
      <w:r>
        <w:t xml:space="preserve">. With the passive chain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  <m:r>
              <m:t>h</m:t>
            </m:r>
          </m:sub>
        </m:sSub>
        <m:r>
          <m:rPr>
            <m:sty m:val="p"/>
          </m:rPr>
          <m:t>=</m:t>
        </m:r>
        <m:r>
          <m:t>0.30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/</m:t>
        </m:r>
        <m:r>
          <m:rPr>
            <m:sty m:val="p"/>
          </m:rPr>
          <m:t>W</m:t>
        </m:r>
      </m:oMath>
      <w:r>
        <w:t xml:space="preserve">, the rise across the interface alone 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0.30</m:t>
        </m:r>
      </m:oMath>
      <w:r>
        <w:t xml:space="preserve">: 90 C at 300 W,</w:t>
      </w:r>
      <w:r>
        <w:t xml:space="preserve"> </w:t>
      </w:r>
      <w:r>
        <w:rPr>
          <w:b/>
          <w:bCs/>
        </w:rPr>
        <w:t xml:space="preserve">210 C at 700 W, and 360 C at 1200 W</w:t>
      </w:r>
      <w:r>
        <w:t xml:space="preserve">. Because the entire junction budget is 125 C, any chip with</w:t>
      </w:r>
      <w:r>
        <w:t xml:space="preserve"> </w:t>
      </w:r>
      <m:oMath>
        <m:r>
          <m:t>P</m:t>
        </m:r>
        <m:r>
          <m:t> </m:t>
        </m:r>
        <m:sSub>
          <m:e>
            <m:r>
              <m:t>R</m:t>
            </m:r>
          </m:e>
          <m:sub>
            <m:r>
              <m:t>t</m:t>
            </m:r>
            <m:r>
              <m:t>h</m:t>
            </m:r>
          </m:sub>
        </m:sSub>
        <m:r>
          <m:rPr>
            <m:sty m:val="p"/>
          </m:rPr>
          <m:t>&gt;</m:t>
        </m:r>
        <m:r>
          <m:t>125</m:t>
        </m:r>
        <m:r>
          <m:t> </m:t>
        </m:r>
        <m:r>
          <m:rPr>
            <m:sty m:val="p"/>
          </m:rPr>
          <m:t>C</m:t>
        </m:r>
      </m:oMath>
      <w:r>
        <w:t xml:space="preserve">, that is,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417</m:t>
        </m:r>
        <m:r>
          <m:t> </m:t>
        </m:r>
        <m:r>
          <m:rPr>
            <m:sty m:val="p"/>
          </m:rPr>
          <m:t>W</m:t>
        </m:r>
      </m:oMath>
      <w:r>
        <w:t xml:space="preserve">, cannot be cooled passively at any</w:t>
      </w:r>
      <w:r>
        <w:t xml:space="preserve"> </w:t>
      </w:r>
      <w:r>
        <w:t xml:space="preserve">radiator size. Above this threshold, chip-level liquid or loop-heat-pipe cooling is mandatory. This</w:t>
      </w:r>
      <w:r>
        <w:t xml:space="preserve"> </w:t>
      </w:r>
      <w:r>
        <w:t xml:space="preserve">is why flown systems (Starcloud, Axiom) use pumped loops rather than the passive vapor chamber the</w:t>
      </w:r>
      <w:r>
        <w:t xml:space="preserve"> </w:t>
      </w:r>
      <w:r>
        <w:t xml:space="preserve">first report assumed.</w:t>
      </w:r>
    </w:p>
    <w:p>
      <w:pPr>
        <w:pStyle w:val="CaptionedFigure"/>
      </w:pPr>
      <w:r>
        <w:drawing>
          <wp:inline>
            <wp:extent cx="5334000" cy="3459634"/>
            <wp:effectExtent b="0" l="0" r="0" t="0"/>
            <wp:docPr descr="Fig. 10.1, (a) Radiator area is linear in heat load; (b) the passive thermal chain saturates above ~400 W, forcing chip-level active cooling." title="" id="44" name="Picture"/>
            <a:graphic>
              <a:graphicData uri="http://schemas.openxmlformats.org/drawingml/2006/picture">
                <pic:pic>
                  <pic:nvPicPr>
                    <pic:cNvPr descr="figures/fig2_thermal_wall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596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10.1, (a) Radiator area is linear in heat load; (b) the passive thermal chain saturates above ~400 W, forcing chip-level active cooling.</w:t>
      </w:r>
    </w:p>
    <w:bookmarkEnd w:id="46"/>
    <w:bookmarkStart w:id="50" w:name="electrical-power"/>
    <w:p>
      <w:pPr>
        <w:pStyle w:val="Heading2"/>
      </w:pPr>
      <w:r>
        <w:t xml:space="preserve">11. Electrical power</w:t>
      </w:r>
    </w:p>
    <w:p>
      <w:pPr>
        <w:pStyle w:val="FirstParagraph"/>
      </w:pPr>
      <w:r>
        <w:t xml:space="preserve">The power subsystem converts sunlight to usable electrical power and buffers the brief eclipse.</w:t>
      </w:r>
    </w:p>
    <w:p>
      <w:pPr>
        <w:pStyle w:val="BodyText"/>
      </w:pPr>
      <w:r>
        <w:rPr>
          <w:b/>
          <w:bCs/>
        </w:rPr>
        <w:t xml:space="preserve">Array power.</w:t>
      </w:r>
      <w:r>
        <w:t xml:space="preserve"> </w:t>
      </w:r>
      <w:r>
        <w:t xml:space="preserve">The electrical power delivered to the load is the incident solar power times the</w:t>
      </w:r>
      <w:r>
        <w:t xml:space="preserve"> </w:t>
      </w:r>
      <w:r>
        <w:t xml:space="preserve">cell efficiency (which falls with temperature and degrades with radiation), the panel packing</w:t>
      </w:r>
      <w:r>
        <w:t xml:space="preserve"> </w:t>
      </w:r>
      <w:r>
        <w:t xml:space="preserve">factor, and the array-to-load path efficiency: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0</m:t>
              </m:r>
            </m:sub>
          </m:sSub>
          <m:r>
            <m:t> </m:t>
          </m:r>
          <m:r>
            <m:t>A</m:t>
          </m:r>
          <m:r>
            <m:t> 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)</m:t>
          </m:r>
          <m:r>
            <m:t> </m:t>
          </m:r>
          <m:sSub>
            <m:e>
              <m:r>
                <m:t>κ</m:t>
              </m:r>
            </m:e>
            <m: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k</m:t>
              </m:r>
            </m:sub>
          </m:sSub>
          <m:r>
            <m:t> </m:t>
          </m:r>
          <m:sSub>
            <m:e>
              <m:r>
                <m:t>η</m:t>
              </m:r>
            </m:e>
            <m: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sub>
          </m:sSub>
          <m:r>
            <m:t> </m:t>
          </m:r>
          <m:d>
            <m:dPr>
              <m:begChr m:val="["/>
              <m:sepChr m:val=""/>
              <m:endChr m:val="]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Triple-junction GaInP/GaAs/Ge cells deliver about 29.6 percent at beginning of life and 27.5 percent</w:t>
      </w:r>
      <w:r>
        <w:t xml:space="preserve"> </w:t>
      </w:r>
      <w:r>
        <w:t xml:space="preserve">after a five-year fluence, with a temperature coefficient</w:t>
      </w:r>
      <w:r>
        <w:t xml:space="preserve"> </w:t>
      </w:r>
      <m:oMath>
        <m:sSub>
          <m:e>
            <m:r>
              <m:t>k</m:t>
            </m:r>
          </m:e>
          <m:sub>
            <m:r>
              <m:t>T</m:t>
            </m:r>
          </m:sub>
        </m:sSub>
        <m:r>
          <m:rPr>
            <m:sty m:val="p"/>
          </m:rPr>
          <m:t>≈</m:t>
        </m:r>
        <m:r>
          <m:rPr>
            <m:sty m:val="p"/>
          </m:rPr>
          <m:t>−</m:t>
        </m:r>
        <m:r>
          <m:t>0.0023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 </m:t>
        </m:r>
        <m:r>
          <m:rPr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packing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k</m:t>
            </m:r>
          </m:sub>
        </m:sSub>
        <m:r>
          <m:rPr>
            <m:sty m:val="p"/>
          </m:rPr>
          <m:t>=</m:t>
        </m:r>
        <m:r>
          <m:t>0.85</m:t>
        </m:r>
      </m:oMath>
      <w:r>
        <w:t xml:space="preserve">, and path efficiency</w:t>
      </w:r>
      <w:r>
        <w:t xml:space="preserve"> </w:t>
      </w:r>
      <m:oMath>
        <m:sSub>
          <m:e>
            <m:r>
              <m:t>η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=</m:t>
        </m:r>
        <m:r>
          <m:t>0.88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Worked example:</w:t>
      </w:r>
      <w:r>
        <w:t xml:space="preserve"> </w:t>
      </w:r>
      <w:r>
        <w:t xml:space="preserve">at end of life and 70 C,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0.275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r>
          <m:t>0.0023</m:t>
        </m:r>
        <m:r>
          <m:rPr>
            <m:sty m:val="p"/>
          </m:rPr>
          <m:t>(</m:t>
        </m:r>
        <m:r>
          <m:t>70</m:t>
        </m:r>
        <m:r>
          <m:rPr>
            <m:sty m:val="p"/>
          </m:rPr>
          <m:t>−</m:t>
        </m:r>
        <m:r>
          <m:t>28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0.248</m:t>
        </m:r>
      </m:oMath>
      <w:r>
        <w:t xml:space="preserve">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1361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0.248</m:t>
        </m:r>
        <m:r>
          <m:rPr>
            <m:sty m:val="p"/>
          </m:rPr>
          <m:t>×</m:t>
        </m:r>
        <m:r>
          <m:t>0.85</m:t>
        </m:r>
        <m:r>
          <m:rPr>
            <m:sty m:val="p"/>
          </m:rPr>
          <m:t>×</m:t>
        </m:r>
        <m:r>
          <m:t>0.88</m:t>
        </m:r>
        <m:r>
          <m:rPr>
            <m:sty m:val="p"/>
          </m:rPr>
          <m:t>=</m:t>
        </m:r>
        <m:r>
          <m:t>253</m:t>
        </m:r>
        <m:r>
          <m:t> </m:t>
        </m:r>
        <m:r>
          <m:rPr>
            <m:sty m:val="p"/>
          </m:rPr>
          <m:t>W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t xml:space="preserve"> </w:t>
      </w:r>
      <w:r>
        <w:t xml:space="preserve">at the load.</w:t>
      </w:r>
    </w:p>
    <w:p>
      <w:pPr>
        <w:pStyle w:val="BodyText"/>
      </w:pPr>
      <w:r>
        <w:rPr>
          <w:b/>
          <w:bCs/>
        </w:rPr>
        <w:t xml:space="preserve">Battery and the dawn-dusk lever.</w:t>
      </w:r>
      <w:r>
        <w:t xml:space="preserve"> </w:t>
      </w:r>
      <w:r>
        <w:t xml:space="preserve">To carry the load</w:t>
      </w:r>
      <w:r>
        <w:t xml:space="preserve"> </w:t>
      </w:r>
      <m:oMath>
        <m:sSub>
          <m:e>
            <m:r>
              <m:t>P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through an eclipse of duration</w:t>
      </w:r>
      <w:r>
        <w:t xml:space="preserve"> </w:t>
      </w:r>
      <m:oMath>
        <m:sSub>
          <m:e>
            <m:r>
              <m:t>t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depth-of-discharge DoD and specific energy</w:t>
      </w:r>
      <w: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t xml:space="preserve">, the battery mass is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L</m:t>
            </m:r>
          </m:sub>
        </m:sSub>
        <m:sSub>
          <m:e>
            <m:r>
              <m:t>t</m:t>
            </m:r>
          </m:e>
          <m:sub>
            <m:r>
              <m:t>e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D</m:t>
        </m:r>
        <m:r>
          <m:rPr>
            <m:sty m:val="p"/>
          </m:rPr>
          <m:t>o</m:t>
        </m:r>
        <m:r>
          <m:rPr>
            <m:sty m:val="p"/>
          </m:rPr>
          <m:t>D</m:t>
        </m:r>
        <m:r>
          <m:t> </m:t>
        </m:r>
        <m:sSub>
          <m:e>
            <m:r>
              <m:t>e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)</m:t>
        </m:r>
      </m:oMath>
      <w:r>
        <w:t xml:space="preserve">. In a dawn-dusk orbit,</w:t>
      </w:r>
      <w:r>
        <w:t xml:space="preserve"> </w:t>
      </w:r>
      <m:oMath>
        <m:sSub>
          <m:e>
            <m:r>
              <m:t>t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small</w:t>
      </w:r>
      <w:r>
        <w:t xml:space="preserve"> </w:t>
      </w:r>
      <w:r>
        <w:t xml:space="preserve">and seasonal, so the battery is light, a major mass saving over a generic low orbit with sixteen</w:t>
      </w:r>
      <w:r>
        <w:t xml:space="preserve"> </w:t>
      </w:r>
      <w:r>
        <w:t xml:space="preserve">deep cycles per day. This is the power-subsystem expression of the dawn-dusk advantage established in</w:t>
      </w:r>
      <w:r>
        <w:t xml:space="preserve"> </w:t>
      </w:r>
      <w:r>
        <w:t xml:space="preserve">Chapter 6.</w:t>
      </w:r>
    </w:p>
    <w:p>
      <w:pPr>
        <w:pStyle w:val="CaptionedFigure"/>
      </w:pPr>
      <w:r>
        <w:drawing>
          <wp:inline>
            <wp:extent cx="5334000" cy="2608107"/>
            <wp:effectExtent b="0" l="0" r="0" t="0"/>
            <wp:docPr descr="Fig. 11.1, Array area versus load, and triple-junction degradation over the mission." title="" id="48" name="Picture"/>
            <a:graphic>
              <a:graphicData uri="http://schemas.openxmlformats.org/drawingml/2006/picture">
                <pic:pic>
                  <pic:nvPicPr>
                    <pic:cNvPr descr="systems_figs/fig_power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81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11.1, Array area versus load, and triple-junction degradation over the mission.</w:t>
      </w:r>
    </w:p>
    <w:bookmarkEnd w:id="50"/>
    <w:bookmarkStart w:id="54" w:name="structures-and-mass"/>
    <w:p>
      <w:pPr>
        <w:pStyle w:val="Heading2"/>
      </w:pPr>
      <w:r>
        <w:t xml:space="preserve">12. Structures and mass</w:t>
      </w:r>
    </w:p>
    <w:p>
      <w:pPr>
        <w:pStyle w:val="FirstParagraph"/>
      </w:pPr>
      <w:r>
        <w:t xml:space="preserve">The structure carries launch loads, sets the spacecraft inertia (which feeds attitude control), and</w:t>
      </w:r>
      <w:r>
        <w:t xml:space="preserve"> </w:t>
      </w:r>
      <w:r>
        <w:t xml:space="preserve">anchors the mass budget that closes the whole design.</w:t>
      </w:r>
    </w:p>
    <w:p>
      <w:pPr>
        <w:pStyle w:val="BodyText"/>
      </w:pPr>
      <w:r>
        <w:rPr>
          <w:b/>
          <w:bCs/>
        </w:rPr>
        <w:t xml:space="preserve">Inertia from geometry.</w:t>
      </w:r>
      <w:r>
        <w:t xml:space="preserve"> </w:t>
      </w:r>
      <w:r>
        <w:t xml:space="preserve">A uniform box of mass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dimensions</w:t>
      </w:r>
      <w:r>
        <w:t xml:space="preserve"> </w:t>
      </w:r>
      <m:oMath>
        <m:sSub>
          <m:e>
            <m:r>
              <m:t>d</m:t>
            </m:r>
          </m:e>
          <m:sub>
            <m:r>
              <m:t>x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has principal</w:t>
      </w:r>
      <w:r>
        <w:t xml:space="preserve"> </w:t>
      </w:r>
      <w:r>
        <w:t xml:space="preserve">moments</w:t>
      </w:r>
      <w:r>
        <w:t xml:space="preserve"> </w:t>
      </w:r>
      <m:oMath>
        <m:sSub>
          <m:e>
            <m:r>
              <m:t>I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m</m:t>
            </m:r>
          </m:num>
          <m:den>
            <m:r>
              <m:t>12</m:t>
            </m:r>
          </m:den>
        </m:f>
        <m:r>
          <m:rPr>
            <m:sty m:val="p"/>
          </m:rPr>
          <m:t>(</m:t>
        </m:r>
        <m:sSubSup>
          <m:e>
            <m:r>
              <m:t>d</m:t>
            </m:r>
          </m:e>
          <m:sub>
            <m:r>
              <m:t>y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d</m:t>
            </m:r>
          </m:e>
          <m:sub>
            <m:r>
              <m:t>z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and cyclic permutations. A deployed panel of mass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length</w:t>
      </w:r>
      <w:r>
        <w:t xml:space="preserve"> </w:t>
      </w:r>
      <m:oMath>
        <m:r>
          <m:t>L</m:t>
        </m:r>
      </m:oMath>
      <w:r>
        <w:t xml:space="preserve">, at offset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from the bus axis contributes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12</m:t>
        </m:r>
        <m:r>
          <m:rPr>
            <m:sty m:val="p"/>
          </m:rPr>
          <m:t>+</m:t>
        </m:r>
        <m:sSup>
          <m:e>
            <m:r>
              <m:t>o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 the parallel-axis</w:t>
      </w:r>
      <w:r>
        <w:t xml:space="preserve"> </w:t>
      </w:r>
      <w:r>
        <w:t xml:space="preserve">theorem. Summing the bus, two solar wings, and the radiators gives a diagonal inertia tensor; for</w:t>
      </w:r>
      <w:r>
        <w:t xml:space="preserve"> </w:t>
      </w:r>
      <w:r>
        <w:t xml:space="preserve">the reference satellite the maximum principal moment is on the order of a few hundred kilogram-meters</w:t>
      </w:r>
      <w:r>
        <w:t xml:space="preserve"> </w:t>
      </w:r>
      <w:r>
        <w:t xml:space="preserve">squared, and the maximum minus minimum difference feeds the gravity-gradient torque of Chapter 13.</w:t>
      </w:r>
    </w:p>
    <w:p>
      <w:pPr>
        <w:pStyle w:val="BodyText"/>
      </w:pPr>
      <w:r>
        <w:rPr>
          <w:b/>
          <w:bCs/>
        </w:rPr>
        <w:t xml:space="preserve">Structural mass and launch loads.</w:t>
      </w:r>
      <w:r>
        <w:t xml:space="preserve"> </w:t>
      </w:r>
      <w:r>
        <w:t xml:space="preserve">Primary structure is sized as a fraction (typically fifteen to</w:t>
      </w:r>
      <w:r>
        <w:t xml:space="preserve"> </w:t>
      </w:r>
      <w:r>
        <w:t xml:space="preserve">twenty-five percent) of the supported mass, and checked against the quasi-static launch load: the</w:t>
      </w:r>
      <w:r>
        <w:t xml:space="preserve"> </w:t>
      </w:r>
      <w:r>
        <w:t xml:space="preserve">stress in a primary member is</w:t>
      </w:r>
      <w:r>
        <w:t xml:space="preserve"> </w:t>
      </w:r>
      <m:oMath>
        <m:sSub>
          <m:e>
            <m:r>
              <m:t>σ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t>m</m:t>
        </m:r>
        <m:r>
          <m:t> </m:t>
        </m:r>
        <m:sSub>
          <m:e>
            <m:r>
              <m:t>g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and the margin is the yield strength divided by this stress, required to exceed roughly 1.25 with</w:t>
      </w:r>
      <w:r>
        <w:t xml:space="preserve"> </w:t>
      </w:r>
      <w:r>
        <w:t xml:space="preserve">margin. For aluminium at an 8.5-g quasi-static load, modest member areas keep the margin comfortable.</w:t>
      </w:r>
    </w:p>
    <w:p>
      <w:pPr>
        <w:pStyle w:val="BodyText"/>
      </w:pPr>
      <w:r>
        <w:rPr>
          <w:b/>
          <w:bCs/>
        </w:rPr>
        <w:t xml:space="preserve">Panel fundamental frequency.</w:t>
      </w:r>
      <w:r>
        <w:t xml:space="preserve"> </w:t>
      </w:r>
      <w:r>
        <w:t xml:space="preserve">Deployed panels must be stiff enough that their fundamental mode</w:t>
      </w:r>
      <w:r>
        <w:t xml:space="preserve"> </w:t>
      </w:r>
      <w:r>
        <w:t xml:space="preserve">does not couple to the attitude-control bandwidth. For a plate of side</w:t>
      </w:r>
      <w:r>
        <w:t xml:space="preserve"> </w:t>
      </w:r>
      <m:oMath>
        <m:r>
          <m:t>a</m:t>
        </m:r>
      </m:oMath>
      <w:r>
        <w:t xml:space="preserve">, thickness</w:t>
      </w:r>
      <w:r>
        <w:t xml:space="preserve"> </w:t>
      </w:r>
      <m:oMath>
        <m:r>
          <m:t>t</m:t>
        </m:r>
      </m:oMath>
      <w:r>
        <w:t xml:space="preserve">, and areal</w:t>
      </w:r>
      <w:r>
        <w:t xml:space="preserve"> </w:t>
      </w:r>
      <w:r>
        <w:t xml:space="preserve">mass</w:t>
      </w:r>
      <w:r>
        <w:t xml:space="preserve"> </w:t>
      </w:r>
      <m:oMath>
        <m:sSub>
          <m:e>
            <m:r>
              <m:t>ρ</m:t>
            </m:r>
          </m:e>
          <m:sub>
            <m:r>
              <m:t>A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β</m:t>
              </m:r>
            </m:num>
            <m:den>
              <m:r>
                <m:t>2</m:t>
              </m:r>
              <m:r>
                <m:t>π</m:t>
              </m:r>
            </m:den>
          </m:f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sSub>
                    <m:e>
                      <m:r>
                        <m:t>ρ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 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 boundary-condition constant. Thin, large deployed panels are inherently low-frequency,</w:t>
      </w:r>
      <w:r>
        <w:t xml:space="preserve"> </w:t>
      </w:r>
      <w:r>
        <w:t xml:space="preserve">which is why the optical-pointing solution (Chapter 13) relies on a fine-steering mirror rather than</w:t>
      </w:r>
      <w:r>
        <w:t xml:space="preserve"> </w:t>
      </w:r>
      <w:r>
        <w:t xml:space="preserve">on slewing the whole flexible structure.</w:t>
      </w:r>
    </w:p>
    <w:p>
      <w:pPr>
        <w:pStyle w:val="BodyText"/>
      </w:pPr>
      <w:r>
        <w:rPr>
          <w:b/>
          <w:bCs/>
        </w:rPr>
        <w:t xml:space="preserve">Mass closure.</w:t>
      </w:r>
      <w:r>
        <w:t xml:space="preserve"> </w:t>
      </w:r>
      <w:r>
        <w:t xml:space="preserve">The integrated model (Chapter 18) sums structure, thermal, power, attitude,</w:t>
      </w:r>
      <w:r>
        <w:t xml:space="preserve"> </w:t>
      </w:r>
      <w:r>
        <w:t xml:space="preserve">shielding, avionics, payload, harness, and propellant into a dry and a launch mass, and from the</w:t>
      </w:r>
      <w:r>
        <w:t xml:space="preserve"> </w:t>
      </w:r>
      <w:r>
        <w:t xml:space="preserve">dry mass and a drag area computes the ballistic coefficient that feeds the decay and Δv analyses.</w:t>
      </w:r>
      <w:r>
        <w:t xml:space="preserve"> </w:t>
      </w:r>
      <w:r>
        <w:t xml:space="preserve">The reference four-chip satellite closes at roughly 270 to 290 kg dry.</w:t>
      </w:r>
    </w:p>
    <w:p>
      <w:pPr>
        <w:pStyle w:val="CaptionedFigure"/>
      </w:pPr>
      <w:r>
        <w:drawing>
          <wp:inline>
            <wp:extent cx="5334000" cy="4681880"/>
            <wp:effectExtent b="0" l="0" r="0" t="0"/>
            <wp:docPr descr="Fig. 12.1 Reference satellite dry-mass breakdown by subsystem, closed self-consistently by the integrated model." title="" id="52" name="Picture"/>
            <a:graphic>
              <a:graphicData uri="http://schemas.openxmlformats.org/drawingml/2006/picture">
                <pic:pic>
                  <pic:nvPicPr>
                    <pic:cNvPr descr="figures2/figA8_mass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81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12.1 Reference satellite dry-mass breakdown by subsystem, closed self-consistently by the integrated model.</w:t>
      </w:r>
    </w:p>
    <w:bookmarkEnd w:id="54"/>
    <w:bookmarkStart w:id="55" w:name="X63cb9f37665b9f150c1577425ead9308a982ab3"/>
    <w:p>
      <w:pPr>
        <w:pStyle w:val="Heading2"/>
      </w:pPr>
      <w:r>
        <w:t xml:space="preserve">13. Attitude determination and control; optical pointing</w:t>
      </w:r>
    </w:p>
    <w:p>
      <w:pPr>
        <w:pStyle w:val="FirstParagraph"/>
      </w:pPr>
      <w:r>
        <w:t xml:space="preserve">The attitude subsystem must hold the bus steady against disturbance torques and, far more</w:t>
      </w:r>
      <w:r>
        <w:t xml:space="preserve"> </w:t>
      </w:r>
      <w:r>
        <w:t xml:space="preserve">demandingly, point laser links to sub-microradian accuracy.</w:t>
      </w:r>
    </w:p>
    <w:p>
      <w:pPr>
        <w:pStyle w:val="BodyText"/>
      </w:pPr>
      <w:r>
        <w:rPr>
          <w:b/>
          <w:bCs/>
        </w:rPr>
        <w:t xml:space="preserve">Disturbance torques.</w:t>
      </w:r>
      <w:r>
        <w:t xml:space="preserve"> </w:t>
      </w:r>
      <w:r>
        <w:t xml:space="preserve">The dominant low-orbit torques are gravity-gradient and aerodynamic: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g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3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t> </m:t>
          </m:r>
          <m:r>
            <m:rPr>
              <m:sty m:val="p"/>
            </m:rPr>
            <m:t>|</m:t>
          </m:r>
          <m:sSub>
            <m:e>
              <m:r>
                <m:t>I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I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|</m:t>
          </m:r>
          <m:r>
            <m:t> </m:t>
          </m:r>
          <m:r>
            <m:rPr>
              <m:sty m:val="p"/>
            </m:rPr>
            <m:t>sin</m:t>
          </m:r>
          <m:r>
            <m:t>2</m:t>
          </m:r>
          <m:r>
            <m:t>θ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τ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ρ</m:t>
          </m:r>
          <m:sSup>
            <m:e>
              <m:r>
                <m:t>v</m:t>
              </m:r>
            </m:e>
            <m:sup>
              <m:r>
                <m:t>2</m:t>
              </m:r>
            </m:sup>
          </m:sSup>
          <m:sSub>
            <m:e>
              <m:r>
                <m:t>C</m:t>
              </m:r>
            </m:e>
            <m:sub>
              <m:r>
                <m:t>D</m:t>
              </m:r>
            </m:sub>
          </m:sSub>
          <m:r>
            <m:t>A</m:t>
          </m:r>
          <m:r>
            <m:t> </m:t>
          </m:r>
          <m:sSub>
            <m:e>
              <m:r>
                <m:t>ℓ</m:t>
              </m:r>
            </m:e>
            <m:sub>
              <m:r>
                <m:t>c</m:t>
              </m:r>
              <m:r>
                <m:t>p</m:t>
              </m:r>
              <m:r>
                <m:rPr>
                  <m:nor/>
                  <m:sty m:val="p"/>
                </m:rPr>
                <m:t>-</m:t>
              </m:r>
              <m:r>
                <m:t>c</m:t>
              </m:r>
              <m:r>
                <m:t>g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t>c</m:t>
            </m:r>
            <m:r>
              <m:t>p</m:t>
            </m:r>
            <m:r>
              <m:rPr>
                <m:nor/>
                <m:sty m:val="p"/>
              </m:rPr>
              <m:t>-</m:t>
            </m:r>
            <m:r>
              <m:t>c</m:t>
            </m:r>
            <m:r>
              <m:t>g</m:t>
            </m:r>
          </m:sub>
        </m:sSub>
      </m:oMath>
      <w:r>
        <w:t xml:space="preserve"> </w:t>
      </w:r>
      <w:r>
        <w:t xml:space="preserve">is the offset between the center of pressure and the center of mass. With</w:t>
      </w:r>
      <w:r>
        <w:t xml:space="preserve"> </w:t>
      </w:r>
      <w:r>
        <w:t xml:space="preserve">the geometry-derived inertia of Chapter 12, the gravity-gradient torque at 650 km is of order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N</m:t>
        </m:r>
        <m:r>
          <m:rPr>
            <m:sty m:val="p"/>
          </m:rPr>
          <m:t> </m:t>
        </m:r>
        <m:r>
          <m:rPr>
            <m:sty m:val="p"/>
          </m:rPr>
          <m:t>m</m:t>
        </m:r>
      </m:oMath>
      <w:r>
        <w:t xml:space="preserve">. Reaction wheels absorb these torques and are desaturated by magnetorquers</w:t>
      </w:r>
      <w:r>
        <w:t xml:space="preserve"> </w:t>
      </w:r>
      <w:r>
        <w:t xml:space="preserve">against Earth’s field.</w:t>
      </w:r>
    </w:p>
    <w:p>
      <w:pPr>
        <w:pStyle w:val="BodyText"/>
      </w:pPr>
      <w:r>
        <w:rPr>
          <w:b/>
          <w:bCs/>
        </w:rPr>
        <w:t xml:space="preserve">Optical pointing and the fine-steering mirror.</w:t>
      </w:r>
      <w:r>
        <w:t xml:space="preserve"> </w:t>
      </w:r>
      <w:r>
        <w:t xml:space="preserve">A laser inter-satellite link requires pointing</w:t>
      </w:r>
      <w:r>
        <w:t xml:space="preserve"> </w:t>
      </w:r>
      <w:r>
        <w:t xml:space="preserve">accuracy below one microradian. The diffraction-limited beam divergence is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≈</m:t>
        </m:r>
        <m:r>
          <m:t>2.44</m:t>
        </m:r>
        <m:r>
          <m:t> </m:t>
        </m:r>
        <m:r>
          <m:t>λ</m:t>
        </m:r>
        <m:r>
          <m:rPr>
            <m:sty m:val="p"/>
          </m:rPr>
          <m:t>/</m:t>
        </m:r>
        <m:r>
          <m:t>D</m:t>
        </m:r>
      </m:oMath>
      <w:r>
        <w:t xml:space="preserve">, and a pointing error</w:t>
      </w:r>
      <w:r>
        <w:t xml:space="preserve"> </w:t>
      </w:r>
      <m:oMath>
        <m:sSub>
          <m:e>
            <m:r>
              <m:t>θ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r</m:t>
            </m:r>
          </m:sub>
        </m:sSub>
      </m:oMath>
      <w:r>
        <w:t xml:space="preserve"> </w:t>
      </w:r>
      <w:r>
        <w:t xml:space="preserve">relative to the beam divergence</w:t>
      </w:r>
      <w:r>
        <w:t xml:space="preserve"> </w:t>
      </w:r>
      <m:oMath>
        <m:sSub>
          <m:e>
            <m:r>
              <m:t>θ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v</m:t>
            </m:r>
          </m:sub>
        </m:sSub>
      </m:oMath>
      <w:r>
        <w:t xml:space="preserve"> </w:t>
      </w:r>
      <w:r>
        <w:t xml:space="preserve">costs received power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bSup>
          <m:e>
            <m:r>
              <m:t>θ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r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sSubSup>
          <m:e>
            <m:r>
              <m:t>θ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v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. A good star tracker provides attitude knowledge of about two arcseconds,</w:t>
      </w:r>
      <w:r>
        <w:t xml:space="preserve"> </w:t>
      </w:r>
      <w:r>
        <w:t xml:space="preserve">or roughly ten microradians, an order of magnitude too coarse. The bus alone cannot hold the beam;</w:t>
      </w:r>
      <w:r>
        <w:t xml:space="preserve"> </w:t>
      </w:r>
      <w:r>
        <w:t xml:space="preserve">a coarse gimbal plus a fine-steering mirror, closing its own loop on the received beacon, is</w:t>
      </w:r>
      <w:r>
        <w:t xml:space="preserve"> </w:t>
      </w:r>
      <w:r>
        <w:t xml:space="preserve">mandatory. The reassuring corollary is that the 150-m neighbor links are geometrically trivial (a</w:t>
      </w:r>
      <w:r>
        <w:t xml:space="preserve"> </w:t>
      </w:r>
      <w:r>
        <w:t xml:space="preserve">twenty-microradian beam is millimeters wide at 150 m); the demanding pointing case is the ground</w:t>
      </w:r>
      <w:r>
        <w:t xml:space="preserve"> </w:t>
      </w:r>
      <w:r>
        <w:t xml:space="preserve">link and any long inter-satellite hop.</w:t>
      </w:r>
    </w:p>
    <w:bookmarkEnd w:id="55"/>
    <w:bookmarkStart w:id="62" w:name="X6ae4c679d3cd8d01d6fb60e2d3c40a4ea80d1a8"/>
    <w:p>
      <w:pPr>
        <w:pStyle w:val="Heading2"/>
      </w:pPr>
      <w:r>
        <w:t xml:space="preserve">14. Communications: inter-satellite and ground</w:t>
      </w:r>
    </w:p>
    <w:p>
      <w:pPr>
        <w:pStyle w:val="FirstParagraph"/>
      </w:pPr>
      <w:r>
        <w:t xml:space="preserve">The communications subsystem sets both the internal fabric capacity and the ability to deliver data</w:t>
      </w:r>
      <w:r>
        <w:t xml:space="preserve"> </w:t>
      </w:r>
      <w:r>
        <w:t xml:space="preserve">to Earth.</w:t>
      </w:r>
    </w:p>
    <w:p>
      <w:pPr>
        <w:pStyle w:val="BodyText"/>
      </w:pPr>
      <w:r>
        <w:rPr>
          <w:b/>
          <w:bCs/>
        </w:rPr>
        <w:t xml:space="preserve">Link budget.</w:t>
      </w:r>
      <w:r>
        <w:t xml:space="preserve"> </w:t>
      </w:r>
      <w:r>
        <w:t xml:space="preserve">Telescope gain and free-space loss are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t>D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π</m:t>
                      </m:r>
                      <m:r>
                        <m:t>R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received power in decibels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+</m:t>
        </m:r>
        <m:sSub>
          <m:e>
            <m:r>
              <m:t>G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+</m:t>
        </m:r>
        <m:sSub>
          <m:e>
            <m:r>
              <m:t>G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−</m:t>
        </m:r>
        <m:sSub>
          <m:e>
            <m:r>
              <m:t>L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−</m:t>
        </m:r>
        <m:sSub>
          <m:e>
            <m:r>
              <m:t>L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−</m:t>
        </m:r>
        <m:sSub>
          <m:e>
            <m:r>
              <m:t>L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−</m:t>
        </m:r>
        <m:sSub>
          <m:e>
            <m:r>
              <m:t>L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Why the formation is tight.</w:t>
      </w:r>
      <w:r>
        <w:t xml:space="preserve"> </w:t>
      </w:r>
      <w:r>
        <w:t xml:space="preserve">With realized terminal parameters (1550 nm, an 80-mm receive</w:t>
      </w:r>
      <w:r>
        <w:t xml:space="preserve"> </w:t>
      </w:r>
      <w:r>
        <w:t xml:space="preserve">telescope, 15-microradian divergence, 1-microradian pointing, 10-Gbps on-off keying), a one-watt</w:t>
      </w:r>
      <w:r>
        <w:t xml:space="preserve"> </w:t>
      </w:r>
      <w:r>
        <w:t xml:space="preserve">link with three-decibel margin is reliable only to about 5,419 km, and the path loss rises twenty</w:t>
      </w:r>
      <w:r>
        <w:t xml:space="preserve"> </w:t>
      </w:r>
      <w:r>
        <w:t xml:space="preserve">decibels per decade of range, from 34 mW required at 1,000 km to 3.41 W at 10,000 km, against a</w:t>
      </w:r>
      <w:r>
        <w:t xml:space="preserve"> </w:t>
      </w:r>
      <w:r>
        <w:t xml:space="preserve">commercial terminal limit near one watt. The reference architecture needs roughly ten terabits per</w:t>
      </w:r>
      <w:r>
        <w:t xml:space="preserve"> </w:t>
      </w:r>
      <w:r>
        <w:t xml:space="preserve">second of aggregate bandwidth per link, achievable with off-the-shelf wavelength-division</w:t>
      </w:r>
      <w:r>
        <w:t xml:space="preserve"> </w:t>
      </w:r>
      <w:r>
        <w:t xml:space="preserve">multiplexing (about 9.6 Tbps bidirectional per ten-centimeter aperture; a bench demonstrator reached</w:t>
      </w:r>
      <w:r>
        <w:t xml:space="preserve"> </w:t>
      </w:r>
      <w:r>
        <w:t xml:space="preserve">1.6 Tbps) only by flying the satellites about 150 m apart. The tight cluster is forced by the</w:t>
      </w:r>
      <w:r>
        <w:t xml:space="preserve"> </w:t>
      </w:r>
      <w:r>
        <w:t xml:space="preserve">inverse-square link physics, not chosen for convenience.</w:t>
      </w:r>
    </w:p>
    <w:p>
      <w:pPr>
        <w:pStyle w:val="CaptionedFigure"/>
      </w:pPr>
      <w:r>
        <w:drawing>
          <wp:inline>
            <wp:extent cx="5334000" cy="2456668"/>
            <wp:effectExtent b="0" l="0" r="0" t="0"/>
            <wp:docPr descr="Fig. 14.2 Transmit power required to hold a three-decibel link margin versus range, against the one-watt terminal limit, and the pointing-loss sensitivity to jitter. Range and pointing together force the tight formation." title="" id="57" name="Picture"/>
            <a:graphic>
              <a:graphicData uri="http://schemas.openxmlformats.org/drawingml/2006/picture">
                <pic:pic>
                  <pic:nvPicPr>
                    <pic:cNvPr descr="figures2/figA4_link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6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14.2 Transmit power required to hold a three-decibel link margin versus range, against the one-watt terminal limit, and the pointing-loss sensitivity to jitter. Range and pointing together force the tight formation.</w:t>
      </w:r>
    </w:p>
    <w:p>
      <w:pPr>
        <w:pStyle w:val="BodyText"/>
      </w:pPr>
      <w:r>
        <w:rPr>
          <w:b/>
          <w:bCs/>
        </w:rPr>
        <w:t xml:space="preserve">Ground segment.</w:t>
      </w:r>
      <w:r>
        <w:t xml:space="preserve"> </w:t>
      </w:r>
      <w:r>
        <w:t xml:space="preserve">The downlink to Earth is the availability bottleneck. The slant atmospheric loss</w:t>
      </w:r>
      <w:r>
        <w:t xml:space="preserve"> </w:t>
      </w:r>
      <w:r>
        <w:t xml:space="preserve">scales with the air 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l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n</m:t>
        </m:r>
        <m:r>
          <m:rPr>
            <m:sty m:val="p"/>
          </m:rPr>
          <m:t>)</m:t>
        </m:r>
      </m:oMath>
      <w:r>
        <w:t xml:space="preserve">, and cloud cover is opaque at optical</w:t>
      </w:r>
      <w:r>
        <w:t xml:space="preserve"> </w:t>
      </w:r>
      <w:r>
        <w:t xml:space="preserve">wavelengths, so single-site availability is poor. The remedy is site diversity: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</w:t>
      </w:r>
      <w:r>
        <w:t xml:space="preserve"> </w:t>
      </w:r>
      <w:r>
        <w:t xml:space="preserve">ground stations the probability that at least one is cloud-free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reaches roughly ninety-six percent for four stations. Contact time per overhead pass follows</w:t>
      </w:r>
      <w:r>
        <w:t xml:space="preserve"> </w:t>
      </w:r>
      <w:r>
        <w:t xml:space="preserve">from the elevation-mask geometry,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arccos</m:t>
        </m:r>
        <m:r>
          <m:rPr>
            <m:sty m:val="p"/>
          </m:rPr>
          <m:t>[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E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E</m:t>
            </m:r>
          </m:sub>
        </m:sSub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ε</m:t>
        </m:r>
      </m:oMath>
      <w:r>
        <w:t xml:space="preserve">, giving about nine minutes at a ten-degree mask; combined with the data rate and the</w:t>
      </w:r>
      <w:r>
        <w:t xml:space="preserve"> </w:t>
      </w:r>
      <w:r>
        <w:t xml:space="preserve">number of passes, this sets the daily deliverable volume (tens of terabytes per day in the reference</w:t>
      </w:r>
      <w:r>
        <w:t xml:space="preserve"> </w:t>
      </w:r>
      <w:r>
        <w:t xml:space="preserve">case).</w:t>
      </w:r>
    </w:p>
    <w:p>
      <w:pPr>
        <w:pStyle w:val="BodyText"/>
      </w:pPr>
      <w:r>
        <w:rPr>
          <w:b/>
          <w:bCs/>
        </w:rPr>
        <w:t xml:space="preserve">Latency.</w:t>
      </w:r>
      <w:r>
        <w:t xml:space="preserve"> </w:t>
      </w:r>
      <w:r>
        <w:t xml:space="preserve">Light travels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vacuum but at</w:t>
      </w:r>
      <w:r>
        <w:t xml:space="preserve"> </w:t>
      </w:r>
      <m:oMath>
        <m:r>
          <m:t>c</m:t>
        </m:r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</m:sub>
        </m:sSub>
      </m:oMath>
      <w:r>
        <w:t xml:space="preserve"> </w:t>
      </w:r>
      <w:r>
        <w:t xml:space="preserve">in fiber</w:t>
      </w:r>
      <w:r>
        <w:t xml:space="preserve"> </w:t>
      </w:r>
      <w:r>
        <w:t xml:space="preserve">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=</m:t>
        </m:r>
        <m:r>
          <m:t>1.4675</m:t>
        </m:r>
      </m:oMath>
      <w:r>
        <w:t xml:space="preserve">), so a LEO optical mesh beats terrestrial fiber for path distances</w:t>
      </w:r>
      <w:r>
        <w:t xml:space="preserve"> </w:t>
      </w:r>
      <w:r>
        <w:t xml:space="preserve">beyond roughly 3,000 km, a genuine advantage for long-haul, latency-sensitive traffic.</w:t>
      </w:r>
    </w:p>
    <w:p>
      <w:pPr>
        <w:pStyle w:val="CaptionedFigure"/>
      </w:pPr>
      <w:r>
        <w:drawing>
          <wp:inline>
            <wp:extent cx="5334000" cy="2604741"/>
            <wp:effectExtent b="0" l="0" r="0" t="0"/>
            <wp:docPr descr="Fig. 14.1, Inter-satellite free-space loss versus range and pointing-loss sensitivity." title="" id="60" name="Picture"/>
            <a:graphic>
              <a:graphicData uri="http://schemas.openxmlformats.org/drawingml/2006/picture">
                <pic:pic>
                  <pic:nvPicPr>
                    <pic:cNvPr descr="systems_figs/fig_comms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4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14.1, Inter-satellite free-space loss versus range and pointing-loss sensitivity.</w:t>
      </w:r>
    </w:p>
    <w:bookmarkEnd w:id="62"/>
    <w:bookmarkStart w:id="66" w:name="propulsion-and-end-of-life-disposal"/>
    <w:p>
      <w:pPr>
        <w:pStyle w:val="Heading2"/>
      </w:pPr>
      <w:r>
        <w:t xml:space="preserve">15. Propulsion and end-of-life disposal</w:t>
      </w:r>
    </w:p>
    <w:p>
      <w:pPr>
        <w:pStyle w:val="FirstParagraph"/>
      </w:pPr>
      <w:r>
        <w:t xml:space="preserve">Propulsion must make up drag, maintain the formation, enable collision avoidance, and, decisively,</w:t>
      </w:r>
      <w:r>
        <w:t xml:space="preserve"> </w:t>
      </w:r>
      <w:r>
        <w:t xml:space="preserve">de-orbit the satellite within the regulatory window.</w:t>
      </w:r>
    </w:p>
    <w:p>
      <w:pPr>
        <w:pStyle w:val="BodyText"/>
      </w:pPr>
      <w:r>
        <w:rPr>
          <w:b/>
          <w:bCs/>
        </w:rPr>
        <w:t xml:space="preserve">The disposal rule.</w:t>
      </w:r>
      <w:r>
        <w:t xml:space="preserve"> </w:t>
      </w:r>
      <w:r>
        <w:t xml:space="preserve">The United States Federal Communications Commission adopted a binding</w:t>
      </w:r>
      <w:r>
        <w:t xml:space="preserve"> </w:t>
      </w:r>
      <w:r>
        <w:t xml:space="preserve">five-year disposal rule in 2022 (effective 2024) for any satellite ending its mission in or</w:t>
      </w:r>
      <w:r>
        <w:t xml:space="preserve"> </w:t>
      </w:r>
      <w:r>
        <w:t xml:space="preserve">transiting below 2,000 km, replacing the earlier non-binding twenty-five-year guideline. Combined</w:t>
      </w:r>
      <w:r>
        <w:t xml:space="preserve"> </w:t>
      </w:r>
      <w:r>
        <w:t xml:space="preserve">with the twenty-two-year natural lifetime of Chapter 7, this makes active de-orbit mandatory.</w:t>
      </w:r>
    </w:p>
    <w:p>
      <w:pPr>
        <w:pStyle w:val="BodyText"/>
      </w:pPr>
      <w:r>
        <w:rPr>
          <w:b/>
          <w:bCs/>
        </w:rPr>
        <w:t xml:space="preserve">Controlled de-orbit by a Hohmann burn.</w:t>
      </w:r>
      <w:r>
        <w:t xml:space="preserve"> </w:t>
      </w:r>
      <w:r>
        <w:t xml:space="preserve">A single retrograde burn at the circular radius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lowers the perigee to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. The transfer ellipse has semi-major axis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, and by</w:t>
      </w:r>
      <w:r>
        <w:t xml:space="preserve"> </w:t>
      </w:r>
      <w:r>
        <w:t xml:space="preserve">vis-viva the speed at its apogee (where the burn occurs) is</w:t>
      </w:r>
      <w: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c</m:t>
            </m:r>
            <m:r>
              <m:t>1</m:t>
            </m:r>
          </m:sub>
        </m:sSub>
        <m:rad>
          <m:radPr>
            <m:degHide m:val="on"/>
          </m:radPr>
          <m:deg/>
          <m:e>
            <m:r>
              <m:t>2</m:t>
            </m:r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</m:rad>
      </m:oMath>
      <w:r>
        <w:t xml:space="preserve">, so the required impulse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1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Worked example:</w:t>
      </w:r>
      <w:r>
        <w:t xml:space="preserve"> </w:t>
      </w:r>
      <w:r>
        <w:t xml:space="preserve">from 650 km to a 180-km perigee,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7.021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6.551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1</m:t>
            </m:r>
          </m:sub>
        </m:sSub>
        <m:r>
          <m:rPr>
            <m:sty m:val="p"/>
          </m:rPr>
          <m:t>=</m:t>
        </m:r>
        <m:r>
          <m:t>7534.8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t xml:space="preserve">, giving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131.6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t xml:space="preserve">. This</w:t>
      </w:r>
      <w:r>
        <w:t xml:space="preserve"> </w:t>
      </w:r>
      <w:r>
        <w:t xml:space="preserve">single term dominates the five-year budget of about 190 m/s (drag make-up ~13, formation ~8,</w:t>
      </w:r>
      <w:r>
        <w:t xml:space="preserve"> </w:t>
      </w:r>
      <w:r>
        <w:t xml:space="preserve">collision avoidance ~5, de-orbit ~132, plus margin).</w:t>
      </w:r>
    </w:p>
    <w:p>
      <w:pPr>
        <w:pStyle w:val="BodyText"/>
      </w:pPr>
      <w:r>
        <w:rPr>
          <w:b/>
          <w:bCs/>
        </w:rPr>
        <w:t xml:space="preserve">Propellant.</w:t>
      </w:r>
      <w:r>
        <w:t xml:space="preserve"> </w:t>
      </w:r>
      <w:r>
        <w:t xml:space="preserve">The rocket equation, derived from momentum conservation</w:t>
      </w:r>
      <w:r>
        <w:t xml:space="preserve"> </w:t>
      </w:r>
      <m:oMath>
        <m:r>
          <m:t>m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e</m:t>
            </m:r>
          </m:sub>
        </m:sSub>
        <m:r>
          <m:t> </m:t>
        </m:r>
        <m:r>
          <m:t>d</m:t>
        </m:r>
        <m:r>
          <m:t>m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s</m:t>
            </m:r>
            <m:r>
              <m:t>p</m:t>
            </m:r>
          </m:sub>
        </m:sSub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gives</w:t>
      </w:r>
      <w:r>
        <w:t xml:space="preserve"> </w:t>
      </w:r>
      <m:oMath>
        <m:sSub>
          <m:e>
            <m:r>
              <m:t>m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rPr>
                <m:sty m:val="p"/>
              </m:rPr>
              <m:t>Δ</m:t>
            </m:r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sSub>
              <m:e>
                <m:r>
                  <m:t>I</m:t>
                </m:r>
              </m:e>
              <m:sub>
                <m:r>
                  <m:t>s</m:t>
                </m:r>
                <m:r>
                  <m:t>p</m:t>
                </m:r>
              </m:sub>
            </m:sSub>
            <m:sSub>
              <m:e>
                <m:r>
                  <m:t>g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For 190 m/s on a</w:t>
      </w:r>
      <w:r>
        <w:t xml:space="preserve"> </w:t>
      </w:r>
      <w:r>
        <w:t xml:space="preserve">375-kg dry bus, this is about 34 kg with hydrazine or about 5 kg with electric propulsion. Electric</w:t>
      </w:r>
      <w:r>
        <w:t xml:space="preserve"> </w:t>
      </w:r>
      <w:r>
        <w:t xml:space="preserve">propulsion is mass-efficient and pairs naturally with the abundant solar power, but its low thrust</w:t>
      </w:r>
      <w:r>
        <w:t xml:space="preserve"> </w:t>
      </w:r>
      <w:r>
        <w:t xml:space="preserve">makes de-orbit slow and requires coordination with the formation.</w:t>
      </w:r>
    </w:p>
    <w:p>
      <w:pPr>
        <w:pStyle w:val="CaptionedFigure"/>
      </w:pPr>
      <w:r>
        <w:drawing>
          <wp:inline>
            <wp:extent cx="5334000" cy="3251761"/>
            <wp:effectExtent b="0" l="0" r="0" t="0"/>
            <wp:docPr descr="Fig. 15.1, Per-satellite Δv budget (de-orbit dominates) and propellant mass by propulsion type." title="" id="64" name="Picture"/>
            <a:graphic>
              <a:graphicData uri="http://schemas.openxmlformats.org/drawingml/2006/picture">
                <pic:pic>
                  <pic:nvPicPr>
                    <pic:cNvPr descr="figures/fig5_deltav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17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15.1, Per-satellite Δv budget (de-orbit dominates) and propellant mass by propulsion type.</w:t>
      </w:r>
    </w:p>
    <w:bookmarkEnd w:id="66"/>
    <w:bookmarkStart w:id="70" w:name="X72d468b889d4049fe64ab25e8d7aac33b521080"/>
    <w:p>
      <w:pPr>
        <w:pStyle w:val="Heading2"/>
      </w:pPr>
      <w:r>
        <w:t xml:space="preserve">16. Reliability and constellation availability</w:t>
      </w:r>
    </w:p>
    <w:p>
      <w:pPr>
        <w:pStyle w:val="FirstParagraph"/>
      </w:pPr>
      <w:r>
        <w:t xml:space="preserve">Because no satellite can be repaired in orbit, reliability must be designed in and availability</w:t>
      </w:r>
      <w:r>
        <w:t xml:space="preserve"> </w:t>
      </w:r>
      <w:r>
        <w:t xml:space="preserve">bought through redundancy and replenishment.</w:t>
      </w:r>
    </w:p>
    <w:p>
      <w:pPr>
        <w:pStyle w:val="BodyText"/>
      </w:pPr>
      <w:r>
        <w:rPr>
          <w:b/>
          <w:bCs/>
        </w:rPr>
        <w:t xml:space="preserve">Exponential reliability.</w:t>
      </w:r>
      <w:r>
        <w:t xml:space="preserve"> </w:t>
      </w:r>
      <w:r>
        <w:t xml:space="preserve">In the flat region of the bathtub curve, failures are a constant-hazard</w:t>
      </w:r>
      <w:r>
        <w:t xml:space="preserve"> </w:t>
      </w:r>
      <w:r>
        <w:t xml:space="preserve">Poisson process, so the probability that a unit survives to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sup>
        </m:sSup>
      </m:oMath>
      <w:r>
        <w:t xml:space="preserve">.</w:t>
      </w:r>
      <w:r>
        <w:t xml:space="preserve"> </w:t>
      </w:r>
      <w:r>
        <w:t xml:space="preserve">A bus with a mean time between failures of 50,000 hours has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r>
          <m:t>5</m:t>
        </m:r>
        <m:r>
          <m:t> </m:t>
        </m:r>
        <m:r>
          <m:rPr>
            <m:sty m:val="p"/>
          </m:rPr>
          <m:t>y</m:t>
        </m:r>
        <m:r>
          <m:rPr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0.876</m:t>
            </m:r>
          </m:sup>
        </m:sSup>
        <m:r>
          <m:rPr>
            <m:sty m:val="p"/>
          </m:rPr>
          <m:t>=</m:t>
        </m:r>
        <m:r>
          <m:t>0.42</m:t>
        </m:r>
      </m:oMath>
      <w:r>
        <w:t xml:space="preserve">:</w:t>
      </w:r>
      <w:r>
        <w:t xml:space="preserve"> </w:t>
      </w:r>
      <w:r>
        <w:t xml:space="preserve">fewer than half survive un-aided, so redundancy is mandatory.</w:t>
      </w:r>
    </w:p>
    <w:p>
      <w:pPr>
        <w:pStyle w:val="BodyText"/>
      </w:pPr>
      <w:r>
        <w:rPr>
          <w:b/>
          <w:bCs/>
        </w:rPr>
        <w:t xml:space="preserve">k-of-n redundancy.</w:t>
      </w:r>
      <w:r>
        <w:t xml:space="preserve"> </w:t>
      </w:r>
      <w:r>
        <w:t xml:space="preserve">If a system functions when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identical units survive, each</w:t>
      </w:r>
      <w:r>
        <w:t xml:space="preserve"> </w:t>
      </w:r>
      <w:r>
        <w:t xml:space="preserve">with reliability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n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</m:num>
                  <m:den>
                    <m:r>
                      <m:t>i</m:t>
                    </m:r>
                  </m:den>
                </m:f>
              </m:e>
            </m:d>
          </m:e>
        </m:nary>
        <m:sSup>
          <m:e>
            <m:r>
              <m:t>p</m:t>
            </m:r>
          </m:e>
          <m:sup>
            <m:r>
              <m:t>i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i</m:t>
            </m:r>
          </m:sup>
        </m:sSup>
      </m:oMath>
      <w:r>
        <w:t xml:space="preserve">. This sizes</w:t>
      </w:r>
      <w:r>
        <w:t xml:space="preserve"> </w:t>
      </w:r>
      <w:r>
        <w:t xml:space="preserve">both chip-level redundancy within a satellite and satellite-level over-provisioning within a cluster.</w:t>
      </w:r>
    </w:p>
    <w:p>
      <w:pPr>
        <w:pStyle w:val="BodyText"/>
      </w:pPr>
      <w:r>
        <w:rPr>
          <w:b/>
          <w:bCs/>
        </w:rPr>
        <w:t xml:space="preserve">Constellation availability and replenishment.</w:t>
      </w:r>
      <w:r>
        <w:t xml:space="preserve"> </w:t>
      </w:r>
      <w:r>
        <w:t xml:space="preserve">The expected fraction of required capacity</w:t>
      </w:r>
      <w:r>
        <w:t xml:space="preserve"> </w:t>
      </w:r>
      <w:r>
        <w:t xml:space="preserve">available, absent replenishment, is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 </m:t>
        </m:r>
        <m:sSub>
          <m:e>
            <m:r>
              <m:t>n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t> </m:t>
        </m:r>
        <m:r>
          <m:t>p</m:t>
        </m:r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q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Operational constellations sustain capacity by continuous replenishment at a rate near the inverse</w:t>
      </w:r>
      <w:r>
        <w:t xml:space="preserve"> </w:t>
      </w:r>
      <w:r>
        <w:t xml:space="preserve">of the design life, about twenty percent per year for a five-year life. The associated replenishment</w:t>
      </w:r>
      <w:r>
        <w:t xml:space="preserve"> </w:t>
      </w:r>
      <w:r>
        <w:t xml:space="preserve">cost is a major and recurring operating expense, carried explicitly in the economics of Chapter 21.</w:t>
      </w:r>
    </w:p>
    <w:p>
      <w:pPr>
        <w:pStyle w:val="CaptionedFigure"/>
      </w:pPr>
      <w:r>
        <w:drawing>
          <wp:inline>
            <wp:extent cx="5334000" cy="2604741"/>
            <wp:effectExtent b="0" l="0" r="0" t="0"/>
            <wp:docPr descr="Fig. 16.1, Per-node reliability versus time and the over-provisioning needed to hold capacity." title="" id="68" name="Picture"/>
            <a:graphic>
              <a:graphicData uri="http://schemas.openxmlformats.org/drawingml/2006/picture">
                <pic:pic>
                  <pic:nvPicPr>
                    <pic:cNvPr descr="systems_figs/fig_reliability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4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16.1, Per-node reliability versus time and the over-provisioning needed to hold capacity.</w:t>
      </w:r>
    </w:p>
    <w:bookmarkEnd w:id="70"/>
    <w:bookmarkStart w:id="74" w:name="compute-and-workload"/>
    <w:p>
      <w:pPr>
        <w:pStyle w:val="Heading2"/>
      </w:pPr>
      <w:r>
        <w:t xml:space="preserve">17. Compute and workload</w:t>
      </w:r>
    </w:p>
    <w:p>
      <w:pPr>
        <w:pStyle w:val="FirstParagraph"/>
      </w:pPr>
      <w:r>
        <w:t xml:space="preserve">The purpose of the system is useful computation, and the appropriate figure of merit is delivered useful</w:t>
      </w:r>
      <w:r>
        <w:t xml:space="preserve"> </w:t>
      </w:r>
      <w:r>
        <w:t xml:space="preserve">work, not peak floating-point capability.</w:t>
      </w:r>
    </w:p>
    <w:p>
      <w:pPr>
        <w:pStyle w:val="BodyText"/>
      </w:pPr>
      <w:r>
        <w:rPr>
          <w:b/>
          <w:bCs/>
        </w:rPr>
        <w:t xml:space="preserve">Delivered compute.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chips of peak rate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k</m:t>
            </m:r>
          </m:sub>
        </m:sSub>
      </m:oMath>
      <w:r>
        <w:t xml:space="preserve">, a model-FLOPs utilization</w:t>
      </w:r>
      <w:r>
        <w:t xml:space="preserve"> </w:t>
      </w:r>
      <w:r>
        <w:t xml:space="preserve">MFU, and a radiation availability</w:t>
      </w:r>
      <w:r>
        <w:t xml:space="preserve"> </w:t>
      </w:r>
      <m:oMath>
        <m:sSub>
          <m:e>
            <m:r>
              <m:t>a</m:t>
            </m:r>
          </m:e>
          <m:sub>
            <m:r>
              <m:t>r</m:t>
            </m:r>
          </m:sub>
        </m:sSub>
      </m:oMath>
      <w:r>
        <w:t xml:space="preserve">, the delivered useful rate is</w:t>
      </w:r>
      <w:r>
        <w:t xml:space="preserve"> </w:t>
      </w:r>
      <m:oMath>
        <m:r>
          <m:t>n</m:t>
        </m:r>
        <m:r>
          <m:t> </m:t>
        </m:r>
        <m:sSub>
          <m:e>
            <m:r>
              <m:t>P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k</m:t>
            </m:r>
          </m:sub>
        </m:sSub>
        <m:r>
          <m:t> </m:t>
        </m:r>
        <m:r>
          <m:rPr>
            <m:sty m:val="p"/>
          </m:rPr>
          <m:t>M</m:t>
        </m:r>
        <m:r>
          <m:rPr>
            <m:sty m:val="p"/>
          </m:rPr>
          <m:t>F</m:t>
        </m:r>
        <m:r>
          <m:rPr>
            <m:sty m:val="p"/>
          </m:rPr>
          <m:t>U</m:t>
        </m:r>
        <m:r>
          <m:t> </m:t>
        </m:r>
        <m:sSub>
          <m:e>
            <m:r>
              <m:t>a</m:t>
            </m:r>
          </m:e>
          <m:sub>
            <m:r>
              <m:t>r</m:t>
            </m:r>
          </m:sub>
        </m:sSub>
      </m:oMath>
      <w:r>
        <w:t xml:space="preserve">. Model-FLOPs utilization is forty to sixty percent for training but only eight to</w:t>
      </w:r>
      <w:r>
        <w:t xml:space="preserve"> </w:t>
      </w:r>
      <w:r>
        <w:t xml:space="preserve">ten percent for inference decode, which is memory-bandwidth bound; a space inference platform must be</w:t>
      </w:r>
      <w:r>
        <w:t xml:space="preserve"> </w:t>
      </w:r>
      <w:r>
        <w:t xml:space="preserve">planned around the low regime.</w:t>
      </w:r>
    </w:p>
    <w:p>
      <w:pPr>
        <w:pStyle w:val="BodyText"/>
      </w:pPr>
      <w:r>
        <w:rPr>
          <w:b/>
          <w:bCs/>
        </w:rPr>
        <w:t xml:space="preserve">Coupled thermal-throttle simulation.</w:t>
      </w:r>
      <w:r>
        <w:t xml:space="preserve"> </w:t>
      </w:r>
      <w:r>
        <w:t xml:space="preserve">The first-order static estimate above misses an essential</w:t>
      </w:r>
      <w:r>
        <w:t xml:space="preserve"> </w:t>
      </w:r>
      <w:r>
        <w:t xml:space="preserve">coupling: a hot chip throttles. The workload model therefore integrates the radiator temperature</w:t>
      </w:r>
      <w:r>
        <w:t xml:space="preserve"> </w:t>
      </w:r>
      <w:r>
        <w:t xml:space="preserve">over an orbit while a time-varying compute load heats the die; when the junction temperature exceeds</w:t>
      </w:r>
      <w:r>
        <w:t xml:space="preserve"> </w:t>
      </w:r>
      <w:r>
        <w:t xml:space="preserve">its throttle threshold, the effective utilization (and thus both power and delivered work) is scaled</w:t>
      </w:r>
      <w:r>
        <w:t xml:space="preserve"> </w:t>
      </w:r>
      <w:r>
        <w:t xml:space="preserve">back, and the loop settles to a throttled operating point. The result is striking: under passive</w:t>
      </w:r>
      <w:r>
        <w:t xml:space="preserve"> </w:t>
      </w:r>
      <w:r>
        <w:t xml:space="preserve">cooling, a 700-W H100 throttles by roughly ninety percent, the interface wall of Chapter 10 made</w:t>
      </w:r>
      <w:r>
        <w:t xml:space="preserve"> </w:t>
      </w:r>
      <w:r>
        <w:t xml:space="preserve">visible in the time domain, while a low-power TPU runs essentially un-throttled. This is the</w:t>
      </w:r>
      <w:r>
        <w:t xml:space="preserve"> </w:t>
      </w:r>
      <w:r>
        <w:t xml:space="preserve">quantitative case for chip-level active cooling at high power.</w:t>
      </w:r>
    </w:p>
    <w:p>
      <w:pPr>
        <w:pStyle w:val="BodyText"/>
      </w:pPr>
      <w:r>
        <w:rPr>
          <w:b/>
          <w:bCs/>
        </w:rPr>
        <w:t xml:space="preserve">Effective efficiency.</w:t>
      </w:r>
      <w:r>
        <w:t xml:space="preserve"> </w:t>
      </w:r>
      <w:r>
        <w:t xml:space="preserve">The appropriate efficiency metric is an effective power-usage effectiveness that</w:t>
      </w:r>
      <w:r>
        <w:t xml:space="preserve"> </w:t>
      </w:r>
      <w:r>
        <w:t xml:space="preserve">folds in the radiation throughput tax,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r</m:t>
            </m:r>
          </m:sub>
        </m:sSub>
      </m:oMath>
      <w:r>
        <w:t xml:space="preserve">, and the relevant cost metric is dollars per useful petaflop-hour, which at</w:t>
      </w:r>
      <w:r>
        <w:t xml:space="preserve"> </w:t>
      </w:r>
      <w:r>
        <w:t xml:space="preserve">realistic utilization is several times the headline peak figure.</w:t>
      </w:r>
    </w:p>
    <w:p>
      <w:pPr>
        <w:pStyle w:val="CaptionedFigure"/>
      </w:pPr>
      <w:r>
        <w:drawing>
          <wp:inline>
            <wp:extent cx="5334000" cy="4019504"/>
            <wp:effectExtent b="0" l="0" r="0" t="0"/>
            <wp:docPr descr="Fig. 17.1, Added subsystems: passive thermal-throttle by chip, ground-station site diversity, latency crossover, and the discounted-cash-flow breakeven." title="" id="72" name="Picture"/>
            <a:graphic>
              <a:graphicData uri="http://schemas.openxmlformats.org/drawingml/2006/picture">
                <pic:pic>
                  <pic:nvPicPr>
                    <pic:cNvPr descr="systems_figs/fig_new_subsystems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19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17.1, Added subsystems: passive thermal-throttle by chip, ground-station site diversity, latency crossover, and the discounted-cash-flow breakeven.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92" w:name="Xe5ea88703363ae012ea2f87a0aad981517e6b12"/>
    <w:p>
      <w:pPr>
        <w:pStyle w:val="Heading1"/>
      </w:pPr>
      <w:r>
        <w:t xml:space="preserve">PART IV, INTEGRATION, SIMULATION, AND RESULTS</w:t>
      </w:r>
    </w:p>
    <w:bookmarkStart w:id="79" w:name="the-integrated-system-model"/>
    <w:p>
      <w:pPr>
        <w:pStyle w:val="Heading2"/>
      </w:pPr>
      <w:r>
        <w:t xml:space="preserve">18. The integrated system model</w:t>
      </w:r>
    </w:p>
    <w:p>
      <w:pPr>
        <w:pStyle w:val="FirstParagraph"/>
      </w:pPr>
      <w:r>
        <w:t xml:space="preserve">The value of a systems model lies in closure: the subsystems must be solved together so that their</w:t>
      </w:r>
      <w:r>
        <w:t xml:space="preserve"> </w:t>
      </w:r>
      <w:r>
        <w:t xml:space="preserve">mutual dependencies are satisfied. The integrated model takes top-level choices, the number and</w:t>
      </w:r>
      <w:r>
        <w:t xml:space="preserve"> </w:t>
      </w:r>
      <w:r>
        <w:t xml:space="preserve">type of chips, altitude, radiator operating temperature, shielding thickness, model-FLOPs</w:t>
      </w:r>
      <w:r>
        <w:t xml:space="preserve"> </w:t>
      </w:r>
      <w:r>
        <w:t xml:space="preserve">utilization, fault-protection level, solar-activity scenario, and launch price, and executes the</w:t>
      </w:r>
      <w:r>
        <w:t xml:space="preserve"> </w:t>
      </w:r>
      <w:r>
        <w:t xml:space="preserve">following chain, each step feeding the next.</w:t>
      </w:r>
    </w:p>
    <w:p>
      <w:pPr>
        <w:pStyle w:val="BodyText"/>
      </w:pPr>
      <w:r>
        <w:t xml:space="preserve">First, the chip power sets the compute load, and the power budget adds avionics, attitude,</w:t>
      </w:r>
      <w:r>
        <w:t xml:space="preserve"> </w:t>
      </w:r>
      <w:r>
        <w:t xml:space="preserve">communications, thermal, and contingency to yield total electrical power. That power sizes the solar</w:t>
      </w:r>
      <w:r>
        <w:t xml:space="preserve"> </w:t>
      </w:r>
      <w:r>
        <w:t xml:space="preserve">array area and mass and the battery. The thermal load sizes the radiator area and mass by equation</w:t>
      </w:r>
      <w:r>
        <w:t xml:space="preserve"> </w:t>
      </w:r>
      <w:r>
        <w:t xml:space="preserve">(10.3). The structural mass is taken as a fraction of the supported mass, and the geometry yields the</w:t>
      </w:r>
      <w:r>
        <w:t xml:space="preserve"> </w:t>
      </w:r>
      <w:r>
        <w:t xml:space="preserve">inertia tensor, which sets the gravity-gradient torque. The radiation dose sets the shielding mass.</w:t>
      </w:r>
      <w:r>
        <w:t xml:space="preserve"> </w:t>
      </w:r>
      <w:r>
        <w:t xml:space="preserve">These masses sum to a dry mass, from which the drag area gives a ballistic coefficient; the</w:t>
      </w:r>
      <w:r>
        <w:t xml:space="preserve"> </w:t>
      </w:r>
      <w:r>
        <w:t xml:space="preserve">propulsion budget then computes the de-orbit and station-keeping Δv and the propellant mass, closing</w:t>
      </w:r>
      <w:r>
        <w:t xml:space="preserve"> </w:t>
      </w:r>
      <w:r>
        <w:t xml:space="preserve">the launch mass. The decay analysis gives the natural lifetime and the disposal-compliance flag, and</w:t>
      </w:r>
      <w:r>
        <w:t xml:space="preserve"> </w:t>
      </w:r>
      <w:r>
        <w:t xml:space="preserve">the debris model gives the catastrophic-impact probability. The coupled thermal-throttle workload</w:t>
      </w:r>
      <w:r>
        <w:t xml:space="preserve"> </w:t>
      </w:r>
      <w:r>
        <w:t xml:space="preserve">simulation gives the delivered useful compute and the throttle loss. The ground-link model gives the</w:t>
      </w:r>
      <w:r>
        <w:t xml:space="preserve"> </w:t>
      </w:r>
      <w:r>
        <w:t xml:space="preserve">downlink availability and daily volume. Finally, the economics model gives the per-satellite cost</w:t>
      </w:r>
      <w:r>
        <w:t xml:space="preserve"> </w:t>
      </w:r>
      <w:r>
        <w:t xml:space="preserve">and the levelized cost of compute.</w:t>
      </w:r>
    </w:p>
    <w:p>
      <w:pPr>
        <w:pStyle w:val="BodyText"/>
      </w:pPr>
      <w:r>
        <w:t xml:space="preserve">The result is one self-consistent satellite, and aggregating over the cluster gives fleet compute,</w:t>
      </w:r>
      <w:r>
        <w:t xml:space="preserve"> </w:t>
      </w:r>
      <w:r>
        <w:t xml:space="preserve">fleet power, capital expenditure, total cost of ownership, and capacity availability. The mass</w:t>
      </w:r>
      <w:r>
        <w:t xml:space="preserve"> </w:t>
      </w:r>
      <w:r>
        <w:t xml:space="preserve">budget for the reference four-chip satellite is shown in Fig. 18.1; structure, thermal, power, and</w:t>
      </w:r>
      <w:r>
        <w:t xml:space="preserve"> </w:t>
      </w:r>
      <w:r>
        <w:t xml:space="preserve">shielding dominate, and the design closes at roughly 270 to 290 kg dry.</w:t>
      </w:r>
    </w:p>
    <w:p>
      <w:pPr>
        <w:pStyle w:val="CaptionedFigure"/>
      </w:pPr>
      <w:r>
        <w:drawing>
          <wp:inline>
            <wp:extent cx="5334000" cy="3797310"/>
            <wp:effectExtent b="0" l="0" r="0" t="0"/>
            <wp:docPr descr="Fig. 18.1, Integrated dry-mass budget, closed self-consistently by the system model." title="" id="77" name="Picture"/>
            <a:graphic>
              <a:graphicData uri="http://schemas.openxmlformats.org/drawingml/2006/picture">
                <pic:pic>
                  <pic:nvPicPr>
                    <pic:cNvPr descr="systems_figs/fig_mass_budget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97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18.1, Integrated dry-mass budget, closed self-consistently by the system model.</w:t>
      </w:r>
    </w:p>
    <w:bookmarkEnd w:id="79"/>
    <w:bookmarkStart w:id="80" w:name="Xfed2044479baa4c639d53a9e82ee4edbe317219"/>
    <w:p>
      <w:pPr>
        <w:pStyle w:val="Heading2"/>
      </w:pPr>
      <w:r>
        <w:t xml:space="preserve">18A. Computational methods and numerical solvers</w:t>
      </w:r>
    </w:p>
    <w:p>
      <w:pPr>
        <w:pStyle w:val="FirstParagraph"/>
      </w:pPr>
      <w:r>
        <w:t xml:space="preserve">The governing equations are not only evaluated in closed form; each is solved with an explicit</w:t>
      </w:r>
      <w:r>
        <w:t xml:space="preserve"> </w:t>
      </w:r>
      <w:r>
        <w:t xml:space="preserve">numerical method in an open solver suite. The quartic radiator energy balance is solved by</w:t>
      </w:r>
      <w:r>
        <w:t xml:space="preserve"> </w:t>
      </w:r>
      <w:r>
        <w:t xml:space="preserve">Newton-Raphson. The drag-decay and eclipse-transient differential equations are integrated by a</w:t>
      </w:r>
      <w:r>
        <w:t xml:space="preserve"> </w:t>
      </w:r>
      <w:r>
        <w:t xml:space="preserve">fourth-order Runge-Kutta scheme. The optical-link range and the internal rate of return are found</w:t>
      </w:r>
      <w:r>
        <w:t xml:space="preserve"> </w:t>
      </w:r>
      <w:r>
        <w:t xml:space="preserve">by Brent root-finding. The launch-cost-parity year is obtained by Monte-Carlo over the uncertain</w:t>
      </w:r>
      <w:r>
        <w:t xml:space="preserve"> </w:t>
      </w:r>
      <w:r>
        <w:t xml:space="preserve">assumptions, because that forecast is skewed and a single point would misrepresent it. Solving the</w:t>
      </w:r>
      <w:r>
        <w:t xml:space="preserve"> </w:t>
      </w:r>
      <w:r>
        <w:t xml:space="preserve">reference mission end to end produces one consistent solution set.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Numerical method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Radiator temperature</w:t>
            </w:r>
          </w:p>
        </w:tc>
        <w:tc>
          <w:tcPr/>
          <w:p>
            <w:pPr>
              <w:pStyle w:val="Compact"/>
            </w:pPr>
            <w:r>
              <w:t xml:space="preserve">Newton-Raphson (4 iterations)</w:t>
            </w:r>
          </w:p>
        </w:tc>
        <w:tc>
          <w:tcPr/>
          <w:p>
            <w:pPr>
              <w:pStyle w:val="Compact"/>
            </w:pPr>
            <w:r>
              <w:t xml:space="preserve">21.3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lifetime at 650 km</w:t>
            </w:r>
          </w:p>
        </w:tc>
        <w:tc>
          <w:tcPr/>
          <w:p>
            <w:pPr>
              <w:pStyle w:val="Compact"/>
            </w:pPr>
            <w:r>
              <w:t xml:space="preserve">Runge-Kutta decay integration</w:t>
            </w:r>
          </w:p>
        </w:tc>
        <w:tc>
          <w:tcPr/>
          <w:p>
            <w:pPr>
              <w:pStyle w:val="Compact"/>
            </w:pPr>
            <w:r>
              <w:t xml:space="preserve">19.6 yr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Eclipse temperature drop</w:t>
            </w:r>
          </w:p>
        </w:tc>
        <w:tc>
          <w:tcPr/>
          <w:p>
            <w:pPr>
              <w:pStyle w:val="Compact"/>
            </w:pPr>
            <w:r>
              <w:t xml:space="preserve">Runge-Kutta transient</w:t>
            </w:r>
          </w:p>
        </w:tc>
        <w:tc>
          <w:tcPr/>
          <w:p>
            <w:pPr>
              <w:pStyle w:val="Compact"/>
            </w:pPr>
            <w:r>
              <w:t xml:space="preserve">minus 0.6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Controlled de-orbit delta-v</w:t>
            </w:r>
          </w:p>
        </w:tc>
        <w:tc>
          <w:tcPr/>
          <w:p>
            <w:pPr>
              <w:pStyle w:val="Compact"/>
            </w:pPr>
            <w:r>
              <w:t xml:space="preserve">Hohmann (vis-viva)</w:t>
            </w:r>
          </w:p>
        </w:tc>
        <w:tc>
          <w:tcPr/>
          <w:p>
            <w:pPr>
              <w:pStyle w:val="Compact"/>
            </w:pPr>
            <w:r>
              <w:t xml:space="preserve">131.6 m/s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Optical link range, 3 dB then 0 dB margin</w:t>
            </w:r>
          </w:p>
        </w:tc>
        <w:tc>
          <w:tcPr/>
          <w:p>
            <w:pPr>
              <w:pStyle w:val="Compact"/>
            </w:pPr>
            <w:r>
              <w:t xml:space="preserve">Brent root</w:t>
            </w:r>
          </w:p>
        </w:tc>
        <w:tc>
          <w:tcPr/>
          <w:p>
            <w:pPr>
              <w:pStyle w:val="Compact"/>
            </w:pPr>
            <w:r>
              <w:t xml:space="preserve">5,419 then 7,655 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Launch-cost parity year</w:t>
            </w:r>
          </w:p>
        </w:tc>
        <w:tc>
          <w:tcPr/>
          <w:p>
            <w:pPr>
              <w:pStyle w:val="Compact"/>
            </w:pPr>
            <w:r>
              <w:t xml:space="preserve">Monte-Carlo</w:t>
            </w:r>
          </w:p>
        </w:tc>
        <w:tc>
          <w:tcPr/>
          <w:p>
            <w:pPr>
              <w:pStyle w:val="Compact"/>
            </w:pPr>
            <w:r>
              <w:t xml:space="preserve">mid-2040s for the minority of scenarios that reach 200 dollars per kilogram within the horizon</w:t>
            </w:r>
          </w:p>
        </w:tc>
      </w:tr>
    </w:tbl>
    <w:p>
      <w:pPr>
        <w:pStyle w:val="BodyText"/>
      </w:pPr>
      <w:r>
        <w:t xml:space="preserve">The numerical primitives are general-purpose and documented. The Newton-Raphson core, used for the</w:t>
      </w:r>
      <w:r>
        <w:t xml:space="preserve"> </w:t>
      </w:r>
      <w:r>
        <w:t xml:space="preserve">radiator quartic, is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newton_raphson(f, fprime, x0, tol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1e-8</w:t>
      </w:r>
      <w:r>
        <w:rPr>
          <w:rStyle w:val="NormalTok"/>
        </w:rPr>
        <w:t xml:space="preserve">, max_iter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max_iter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fx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f(x)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(fx)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x, k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fx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fprime(x)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x, max_iter</w:t>
      </w:r>
    </w:p>
    <w:p>
      <w:pPr>
        <w:pStyle w:val="FirstParagraph"/>
      </w:pPr>
      <w:r>
        <w:t xml:space="preserve">and the fourth-order Runge-Kutta integrator, used for orbital decay and the eclipse transient, is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rk4_integrate(rhs, y0, t0, t1, dt, stop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t, y, ts, 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t0,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(y0), [t0], 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(y0)]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((t1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t0)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dt)):</w:t>
      </w:r>
      <w:r>
        <w:br/>
      </w:r>
      <w:r>
        <w:rPr>
          <w:rStyle w:val="NormalTok"/>
        </w:rPr>
        <w:t xml:space="preserve">        k1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rhs(t, y)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rhs(t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dt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dt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k1)</w:t>
      </w:r>
      <w:r>
        <w:br/>
      </w:r>
      <w:r>
        <w:rPr>
          <w:rStyle w:val="NormalTok"/>
        </w:rPr>
        <w:t xml:space="preserve">        k3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rhs(t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dt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dt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k2)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rhs(t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dt,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k3)</w:t>
      </w:r>
      <w:r>
        <w:br/>
      </w:r>
      <w:r>
        <w:rPr>
          <w:rStyle w:val="NormalTok"/>
        </w:rPr>
        <w:t xml:space="preserve">        y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dt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(k1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k2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k3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k4)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dt</w:t>
      </w:r>
      <w:r>
        <w:br/>
      </w:r>
      <w:r>
        <w:rPr>
          <w:rStyle w:val="NormalTok"/>
        </w:rPr>
        <w:t xml:space="preserve">        ts.append(t)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ys.append(y)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stop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stop(t, y):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ts, ys</w:t>
      </w:r>
    </w:p>
    <w:p>
      <w:pPr>
        <w:pStyle w:val="FirstParagraph"/>
      </w:pPr>
      <w:r>
        <w:t xml:space="preserve">Each solver is checked against the worked examples of this document, so the numbers in the tables</w:t>
      </w:r>
      <w:r>
        <w:t xml:space="preserve"> </w:t>
      </w:r>
      <w:r>
        <w:t xml:space="preserve">and the figures are produced by the same code that a reader can run.</w:t>
      </w:r>
    </w:p>
    <w:bookmarkEnd w:id="80"/>
    <w:bookmarkStart w:id="84" w:name="X23f703a5b3167e168d574605adab1b76f34ca68"/>
    <w:p>
      <w:pPr>
        <w:pStyle w:val="Heading2"/>
      </w:pPr>
      <w:r>
        <w:t xml:space="preserve">19. Uncertainty quantification and sensitivity</w:t>
      </w:r>
    </w:p>
    <w:p>
      <w:pPr>
        <w:pStyle w:val="FirstParagraph"/>
      </w:pPr>
      <w:r>
        <w:t xml:space="preserve">A point design is not credible without an uncertainty band. The model propagates the dominant input</w:t>
      </w:r>
      <w:r>
        <w:t xml:space="preserve"> </w:t>
      </w:r>
      <w:r>
        <w:t xml:space="preserve">uncertainties by Monte-Carlo: the solar-activity scenario (which moves atmospheric density by up to</w:t>
      </w:r>
      <w:r>
        <w:t xml:space="preserve"> </w:t>
      </w:r>
      <w:r>
        <w:t xml:space="preserve">a factor of one hundred), the debris-flux band, the model-FLOPs utilization, and the undisclosed</w:t>
      </w:r>
      <w:r>
        <w:t xml:space="preserve"> </w:t>
      </w:r>
      <w:r>
        <w:t xml:space="preserve">chip power. The resulting distributions of natural lifetime, catastrophic-impact probability, total</w:t>
      </w:r>
      <w:r>
        <w:t xml:space="preserve"> </w:t>
      </w:r>
      <w:r>
        <w:t xml:space="preserve">Δv, and delivered compute are reported as fifth, fiftieth, and ninety-fifth percentiles rather than</w:t>
      </w:r>
      <w:r>
        <w:t xml:space="preserve"> </w:t>
      </w:r>
      <w:r>
        <w:t xml:space="preserve">as single numbers (Fig. 19.1).</w:t>
      </w:r>
    </w:p>
    <w:p>
      <w:pPr>
        <w:pStyle w:val="BodyText"/>
      </w:pPr>
      <w:r>
        <w:t xml:space="preserve">Two sensitivities stand out. First, the natural lifetime is wildly sensitive to the solar cycle:</w:t>
      </w:r>
      <w:r>
        <w:t xml:space="preserve"> </w:t>
      </w:r>
      <w:r>
        <w:t xml:space="preserve">the same satellite that decays in four years at solar maximum lasts over three hundred years at</w:t>
      </w:r>
      <w:r>
        <w:t xml:space="preserve"> </w:t>
      </w:r>
      <w:r>
        <w:t xml:space="preserve">solar minimum, which is precisely why the design cannot rely on passive disposal. Second, delivered</w:t>
      </w:r>
      <w:r>
        <w:t xml:space="preserve"> </w:t>
      </w:r>
      <w:r>
        <w:t xml:space="preserve">compute is sensitive to model-FLOPs utilization and to the radiation throughput tax, which is why</w:t>
      </w:r>
      <w:r>
        <w:t xml:space="preserve"> </w:t>
      </w:r>
      <w:r>
        <w:t xml:space="preserve">the realistic cost of compute is several times the naive peak-based figure. The single weakest input is</w:t>
      </w:r>
      <w:r>
        <w:t xml:space="preserve"> </w:t>
      </w:r>
      <w:r>
        <w:t xml:space="preserve">the chip power itself, undisclosed by the vendor and treated as a 150-to-200-watt band.</w:t>
      </w:r>
    </w:p>
    <w:p>
      <w:pPr>
        <w:pStyle w:val="CaptionedFigure"/>
      </w:pPr>
      <w:r>
        <w:drawing>
          <wp:inline>
            <wp:extent cx="5334000" cy="1886737"/>
            <wp:effectExtent b="0" l="0" r="0" t="0"/>
            <wp:docPr descr="Fig. 19.1, Monte-Carlo distributions of natural lifetime, debris probability, and total Δv across the dominant uncertainties." title="" id="82" name="Picture"/>
            <a:graphic>
              <a:graphicData uri="http://schemas.openxmlformats.org/drawingml/2006/picture">
                <pic:pic>
                  <pic:nvPicPr>
                    <pic:cNvPr descr="systems_figs/fig_montecarlo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67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19.1, Monte-Carlo distributions of natural lifetime, debris probability, and total Δv across the dominant uncertainties.</w:t>
      </w:r>
    </w:p>
    <w:bookmarkEnd w:id="84"/>
    <w:bookmarkStart w:id="91" w:name="X75af3e2abfcdea4ef8ecf50a29bce1e8bc901aa"/>
    <w:p>
      <w:pPr>
        <w:pStyle w:val="Heading2"/>
      </w:pPr>
      <w:r>
        <w:t xml:space="preserve">20. Results: reference design point and constellation</w:t>
      </w:r>
    </w:p>
    <w:p>
      <w:pPr>
        <w:pStyle w:val="FirstParagraph"/>
      </w:pPr>
      <w:r>
        <w:t xml:space="preserve">Bringing the chapters together, the reference design point and its key results are summarized in</w:t>
      </w:r>
      <w:r>
        <w:t xml:space="preserve"> </w:t>
      </w:r>
      <w:r>
        <w:t xml:space="preserve">Table 20.1 and the supporting figures.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Driver / chapter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Orbital period</w:t>
            </w:r>
          </w:p>
        </w:tc>
        <w:tc>
          <w:tcPr/>
          <w:p>
            <w:pPr>
              <w:pStyle w:val="Compact"/>
            </w:pPr>
            <w:r>
              <w:t xml:space="preserve">97.6 min</w:t>
            </w:r>
          </w:p>
        </w:tc>
        <w:tc>
          <w:tcPr/>
          <w:p>
            <w:pPr>
              <w:pStyle w:val="Compact"/>
            </w:pPr>
            <w:r>
              <w:t xml:space="preserve">Ch.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lifetime (moderate solar)</w:t>
            </w:r>
          </w:p>
        </w:tc>
        <w:tc>
          <w:tcPr/>
          <w:p>
            <w:pPr>
              <w:pStyle w:val="Compact"/>
            </w:pPr>
            <w:r>
              <w:t xml:space="preserve">~22 yr</w:t>
            </w:r>
          </w:p>
        </w:tc>
        <w:tc>
          <w:tcPr/>
          <w:p>
            <w:pPr>
              <w:pStyle w:val="Compact"/>
            </w:pPr>
            <w:r>
              <w:t xml:space="preserve">Ch. 7, fails 5-yr 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Radiator area (1 MW, 20 C)</w:t>
            </w:r>
          </w:p>
        </w:tc>
        <w:tc>
          <w:tcPr/>
          <w:p>
            <w:pPr>
              <w:pStyle w:val="Compact"/>
            </w:pPr>
            <w:r>
              <w:t xml:space="preserve">~1,508 m²</w:t>
            </w:r>
          </w:p>
        </w:tc>
        <w:tc>
          <w:tcPr/>
          <w:p>
            <w:pPr>
              <w:pStyle w:val="Compact"/>
            </w:pPr>
            <w:r>
              <w:t xml:space="preserve">Ch.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Interface ΔT (700 W chip)</w:t>
            </w:r>
          </w:p>
        </w:tc>
        <w:tc>
          <w:tcPr/>
          <w:p>
            <w:pPr>
              <w:pStyle w:val="Compact"/>
            </w:pPr>
            <w:r>
              <w:t xml:space="preserve">210 C (&gt;125 budget)</w:t>
            </w:r>
          </w:p>
        </w:tc>
        <w:tc>
          <w:tcPr/>
          <w:p>
            <w:pPr>
              <w:pStyle w:val="Compact"/>
            </w:pPr>
            <w:r>
              <w:t xml:space="preserve">Ch. 10, active cooling needed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5-yr dose behind 10 mm Al</w:t>
            </w:r>
          </w:p>
        </w:tc>
        <w:tc>
          <w:tcPr/>
          <w:p>
            <w:pPr>
              <w:pStyle w:val="Compact"/>
            </w:pPr>
            <w:r>
              <w:t xml:space="preserve">~1.06 krad(Si)</w:t>
            </w:r>
          </w:p>
        </w:tc>
        <w:tc>
          <w:tcPr/>
          <w:p>
            <w:pPr>
              <w:pStyle w:val="Compact"/>
            </w:pPr>
            <w:r>
              <w:t xml:space="preserve">Ch. 8, large 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Catastrophic debris P (cluster, 5 yr)</w:t>
            </w:r>
          </w:p>
        </w:tc>
        <w:tc>
          <w:tcPr/>
          <w:p>
            <w:pPr>
              <w:pStyle w:val="Compact"/>
            </w:pPr>
            <w:r>
              <w:t xml:space="preserve">~17% (6-46% band)</w:t>
            </w:r>
          </w:p>
        </w:tc>
        <w:tc>
          <w:tcPr/>
          <w:p>
            <w:pPr>
              <w:pStyle w:val="Compact"/>
            </w:pPr>
            <w:r>
              <w:t xml:space="preserve">Ch.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In-cluster cascade P (neighbor, 150 m)</w:t>
            </w:r>
          </w:p>
        </w:tc>
        <w:tc>
          <w:tcPr/>
          <w:p>
            <w:pPr>
              <w:pStyle w:val="Compact"/>
            </w:pPr>
            <w:r>
              <w:t xml:space="preserve">~8.5%</w:t>
            </w:r>
          </w:p>
        </w:tc>
        <w:tc>
          <w:tcPr/>
          <w:p>
            <w:pPr>
              <w:pStyle w:val="Compact"/>
            </w:pPr>
            <w:r>
              <w:t xml:space="preserve">Ch. 13 / risk synthesis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De-orbit Δv</w:t>
            </w:r>
          </w:p>
        </w:tc>
        <w:tc>
          <w:tcPr/>
          <w:p>
            <w:pPr>
              <w:pStyle w:val="Compact"/>
            </w:pPr>
            <w:r>
              <w:t xml:space="preserve">131.6 m/s (of ~190 total)</w:t>
            </w:r>
          </w:p>
        </w:tc>
        <w:tc>
          <w:tcPr/>
          <w:p>
            <w:pPr>
              <w:pStyle w:val="Compact"/>
            </w:pPr>
            <w:r>
              <w:t xml:space="preserve">Ch. 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Passive H100 throttle loss</w:t>
            </w:r>
          </w:p>
        </w:tc>
        <w:tc>
          <w:tcPr/>
          <w:p>
            <w:pPr>
              <w:pStyle w:val="Compact"/>
            </w:pPr>
            <w:r>
              <w:t xml:space="preserve">~90%</w:t>
            </w:r>
          </w:p>
        </w:tc>
        <w:tc>
          <w:tcPr/>
          <w:p>
            <w:pPr>
              <w:pStyle w:val="Compact"/>
            </w:pPr>
            <w:r>
              <w:t xml:space="preserve">Ch. 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dry mass</w:t>
            </w:r>
          </w:p>
        </w:tc>
        <w:tc>
          <w:tcPr/>
          <w:p>
            <w:pPr>
              <w:pStyle w:val="Compact"/>
            </w:pPr>
            <w:r>
              <w:t xml:space="preserve">~270-290 kg</w:t>
            </w:r>
          </w:p>
        </w:tc>
        <w:tc>
          <w:tcPr/>
          <w:p>
            <w:pPr>
              <w:pStyle w:val="Compact"/>
            </w:pPr>
            <w:r>
              <w:t xml:space="preserve">Ch. 12, 18</w:t>
            </w:r>
          </w:p>
        </w:tc>
      </w:tr>
    </w:tbl>
    <w:p>
      <w:pPr>
        <w:pStyle w:val="BodyText"/>
      </w:pPr>
      <w:r>
        <w:t xml:space="preserve">The debris and radiation results, central to the survivability case, are shown in Figs. 20.1 and</w:t>
      </w:r>
      <w:r>
        <w:t xml:space="preserve"> </w:t>
      </w:r>
      <w:r>
        <w:t xml:space="preserve">20.2. The debris figure shows both the cluster-level catastrophic probability over the mission and</w:t>
      </w:r>
      <w:r>
        <w:t xml:space="preserve"> </w:t>
      </w:r>
      <w:r>
        <w:t xml:space="preserve">the in-cluster cascade coupling versus formation spacing; the radiation figure shows the</w:t>
      </w:r>
      <w:r>
        <w:t xml:space="preserve"> </w:t>
      </w:r>
      <w:r>
        <w:t xml:space="preserve">dose-versus-shielding curve against the memory tolerance and the reliability-versus-throughput</w:t>
      </w:r>
      <w:r>
        <w:t xml:space="preserve"> </w:t>
      </w:r>
      <w:r>
        <w:t xml:space="preserve">trade.</w:t>
      </w:r>
    </w:p>
    <w:p>
      <w:pPr>
        <w:pStyle w:val="CaptionedFigure"/>
      </w:pPr>
      <w:r>
        <w:drawing>
          <wp:inline>
            <wp:extent cx="5334000" cy="3291840"/>
            <wp:effectExtent b="0" l="0" r="0" t="0"/>
            <wp:docPr descr="Fig. 20.1, Catastrophic debris risk for the full cluster, and the in-cluster cascade coupling versus formation spacing." title="" id="86" name="Picture"/>
            <a:graphic>
              <a:graphicData uri="http://schemas.openxmlformats.org/drawingml/2006/picture">
                <pic:pic>
                  <pic:nvPicPr>
                    <pic:cNvPr descr="figures/fig3_debris_risk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1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20.1, Catastrophic debris risk for the full cluster, and the in-cluster cascade coupling versus formation spacing.</w:t>
      </w:r>
    </w:p>
    <w:p>
      <w:pPr>
        <w:pStyle w:val="CaptionedFigure"/>
      </w:pPr>
      <w:r>
        <w:drawing>
          <wp:inline>
            <wp:extent cx="5334000" cy="3554885"/>
            <wp:effectExtent b="0" l="0" r="0" t="0"/>
            <wp:docPr descr="Fig. 20.2, Cumulative dose versus aluminium shielding, and the reliability-throughput trade." title="" id="89" name="Picture"/>
            <a:graphic>
              <a:graphicData uri="http://schemas.openxmlformats.org/drawingml/2006/picture">
                <pic:pic>
                  <pic:nvPicPr>
                    <pic:cNvPr descr="figures/fig4_radiation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48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20.2, Cumulative dose versus aluminium shielding, and the reliability-throughput trade.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105" w:name="part-v-economics-and-predictions"/>
    <w:p>
      <w:pPr>
        <w:pStyle w:val="Heading1"/>
      </w:pPr>
      <w:r>
        <w:t xml:space="preserve">PART V, ECONOMICS AND PREDICTIONS</w:t>
      </w:r>
    </w:p>
    <w:bookmarkStart w:id="99" w:name="X2e3f63e059a4787a3738c8a944d90eb01378ed4"/>
    <w:p>
      <w:pPr>
        <w:pStyle w:val="Heading2"/>
      </w:pPr>
      <w:r>
        <w:t xml:space="preserve">21. Techno-economics: cost, NPV, and the levelized cost of compute</w:t>
      </w:r>
    </w:p>
    <w:p>
      <w:pPr>
        <w:pStyle w:val="FirstParagraph"/>
      </w:pPr>
      <w:r>
        <w:t xml:space="preserve">The economic case is built with a proper time-value-of-money treatment rather than simple cost</w:t>
      </w:r>
      <w:r>
        <w:t xml:space="preserve"> </w:t>
      </w:r>
      <w:r>
        <w:t xml:space="preserve">bookkeeping.</w:t>
      </w:r>
    </w:p>
    <w:p>
      <w:pPr>
        <w:pStyle w:val="BodyText"/>
      </w:pPr>
      <w:r>
        <w:rPr>
          <w:b/>
          <w:bCs/>
        </w:rPr>
        <w:t xml:space="preserve">Cost structure and the launch cross-over.</w:t>
      </w:r>
      <w:r>
        <w:t xml:space="preserve"> </w:t>
      </w:r>
      <w:r>
        <w:t xml:space="preserve">Per-satellite cost is launch plus hardware,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sub>
        </m:sSub>
        <m:r>
          <m:t> </m:t>
        </m:r>
        <m:sSub>
          <m:e>
            <m:r>
              <m:t>m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w</m:t>
            </m:r>
          </m:sub>
        </m:sSub>
      </m:oMath>
      <w:r>
        <w:t xml:space="preserve">. Launch equals</w:t>
      </w:r>
      <w:r>
        <w:t xml:space="preserve"> </w:t>
      </w:r>
      <w:r>
        <w:t xml:space="preserve">hardware at the cross-over price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sub>
        </m:sSub>
      </m:oMath>
      <w:r>
        <w:t xml:space="preserve">; with about 1.1</w:t>
      </w:r>
      <w:r>
        <w:t xml:space="preserve"> </w:t>
      </w:r>
      <w:r>
        <w:t xml:space="preserve">million dollars of hardware on a 415-kg satellite,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2</m:t>
        </m:r>
        <m:r>
          <m:rPr>
            <m:sty m:val="p"/>
          </m:rPr>
          <m:t>,</m:t>
        </m:r>
        <m:r>
          <m:t>650</m:t>
        </m:r>
        <m:r>
          <m:t> 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D</m:t>
        </m:r>
        <m:r>
          <m:rPr>
            <m:sty m:val="p"/>
          </m:rPr>
          <m:t>/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t xml:space="preserve">. Below</w:t>
      </w:r>
      <w:r>
        <w:t xml:space="preserve"> </w:t>
      </w:r>
      <w:r>
        <w:t xml:space="preserve">this price, hardware dominates, and below roughly 600 USD/kg the launch term is a small correction.</w:t>
      </w:r>
      <w:r>
        <w:t xml:space="preserve"> </w:t>
      </w:r>
      <w:r>
        <w:t xml:space="preserve">The economics are therefore gated by hardware cost, lifetime, utilization, and the radiation tax,</w:t>
      </w:r>
      <w:r>
        <w:t xml:space="preserve"> </w:t>
      </w:r>
      <w:r>
        <w:t xml:space="preserve">not by the headline dollar-per-kilogram figure that dominates public discussion.</w:t>
      </w:r>
    </w:p>
    <w:p>
      <w:pPr>
        <w:pStyle w:val="BodyText"/>
      </w:pPr>
      <w:r>
        <w:rPr>
          <w:b/>
          <w:bCs/>
        </w:rPr>
        <w:t xml:space="preserve">Discounted cash flow.</w:t>
      </w:r>
      <w:r>
        <w:t xml:space="preserve"> </w:t>
      </w:r>
      <w:r>
        <w:t xml:space="preserve">The capital-recovery factor that annualizes a capital cost over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years</w:t>
      </w:r>
      <w:r>
        <w:t xml:space="preserve"> </w:t>
      </w:r>
      <w:r>
        <w:t xml:space="preserve">at discount rate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F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r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r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. Net present value is</w:t>
      </w:r>
      <w: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P</m:t>
        </m:r>
        <m:r>
          <m:rPr>
            <m:sty m:val="p"/>
          </m:rPr>
          <m:t>V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F</m:t>
                </m:r>
              </m:e>
              <m:sub>
                <m:r>
                  <m:t>t</m:t>
                </m:r>
              </m:sub>
            </m:sSub>
          </m:e>
        </m:nary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r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, and the internal rate of return is the rate at which</w:t>
      </w:r>
      <w:r>
        <w:t xml:space="preserve"> </w:t>
      </w:r>
      <w:r>
        <w:t xml:space="preserve">NPV vanishes, solved by bisection.</w:t>
      </w:r>
    </w:p>
    <w:p>
      <w:pPr>
        <w:pStyle w:val="BodyText"/>
      </w:pPr>
      <w:r>
        <w:rPr>
          <w:b/>
          <w:bCs/>
        </w:rPr>
        <w:t xml:space="preserve">Levelized cost of compute.</w:t>
      </w:r>
      <w:r>
        <w:t xml:space="preserve"> </w:t>
      </w:r>
      <w:r>
        <w:t xml:space="preserve">The most decision-relevant metric is the levelized cost per useful</w:t>
      </w:r>
      <w:r>
        <w:t xml:space="preserve"> </w:t>
      </w:r>
      <w:r>
        <w:t xml:space="preserve">petaflop-hour: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X</m:t>
                  </m:r>
                </m:e>
                <m:sub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r</m:t>
                  </m:r>
                </m:sub>
              </m:sSub>
            </m:num>
            <m:den>
              <m:r>
                <m:rPr>
                  <m:nor/>
                  <m:sty m:val="p"/>
                </m:rPr>
                <m:t>annual useful PFLOP-hours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denominator uses delivered, throttled, utilization-and-availability-derated compute, a</w:t>
      </w:r>
      <w:r>
        <w:t xml:space="preserve"> </w:t>
      </w:r>
      <w:r>
        <w:t xml:space="preserve">high-power chip that throttles under passive cooling shows a dramatically worse levelized cost than</w:t>
      </w:r>
      <w:r>
        <w:t xml:space="preserve"> </w:t>
      </w:r>
      <w:r>
        <w:t xml:space="preserve">its peak rating implies, quantifying, in dollars, the penalty of the interface wall. Replenishment,</w:t>
      </w:r>
      <w:r>
        <w:t xml:space="preserve"> </w:t>
      </w:r>
      <w:r>
        <w:t xml:space="preserve">at the reliability-driven rate of Chapter 16, is a first-order operating expense in this calculation.</w:t>
      </w:r>
    </w:p>
    <w:p>
      <w:pPr>
        <w:pStyle w:val="CaptionedFigure"/>
      </w:pPr>
      <w:r>
        <w:drawing>
          <wp:inline>
            <wp:extent cx="5334000" cy="2458219"/>
            <wp:effectExtent b="0" l="0" r="0" t="0"/>
            <wp:docPr descr="Fig. 21.1b Levelized cost of useful compute versus model-FLOPs utilization, and versus launch price. The cost is dominated by utilization and hardware, not by launch." title="" id="94" name="Picture"/>
            <a:graphic>
              <a:graphicData uri="http://schemas.openxmlformats.org/drawingml/2006/picture">
                <pic:pic>
                  <pic:nvPicPr>
                    <pic:cNvPr descr="figures2/figA7_lcoe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8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21.1b Levelized cost of useful compute versus model-FLOPs utilization, and versus launch price. The cost is dominated by utilization and hardware, not by launch.</w:t>
      </w:r>
    </w:p>
    <w:p>
      <w:pPr>
        <w:pStyle w:val="CaptionedFigure"/>
      </w:pPr>
      <w:r>
        <w:drawing>
          <wp:inline>
            <wp:extent cx="5334000" cy="2604741"/>
            <wp:effectExtent b="0" l="0" r="0" t="0"/>
            <wp:docPr descr="Fig. 21.1, Cost of useful compute versus utilization, and the radiation throughput tax by protection level." title="" id="97" name="Picture"/>
            <a:graphic>
              <a:graphicData uri="http://schemas.openxmlformats.org/drawingml/2006/picture">
                <pic:pic>
                  <pic:nvPicPr>
                    <pic:cNvPr descr="systems_figs/fig_compute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4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21.1, Cost of useful compute versus utilization, and the radiation throughput tax by protection level.</w:t>
      </w:r>
    </w:p>
    <w:bookmarkEnd w:id="99"/>
    <w:bookmarkStart w:id="103" w:name="the-launch-cost-parity-prediction"/>
    <w:p>
      <w:pPr>
        <w:pStyle w:val="Heading2"/>
      </w:pPr>
      <w:r>
        <w:t xml:space="preserve">22. The launch-cost-parity prediction</w:t>
      </w:r>
    </w:p>
    <w:p>
      <w:pPr>
        <w:pStyle w:val="FirstParagraph"/>
      </w:pPr>
      <w:r>
        <w:t xml:space="preserve">The entire economic case rests on launch cost falling far enough that the annualized cost of power in</w:t>
      </w:r>
      <w:r>
        <w:t xml:space="preserve"> </w:t>
      </w:r>
      <w:r>
        <w:t xml:space="preserve">orbit approaches the terrestrial cost of power. The reference paper projects launch reaching 200</w:t>
      </w:r>
      <w:r>
        <w:t xml:space="preserve"> </w:t>
      </w:r>
      <w:r>
        <w:t xml:space="preserve">dollars per kilogram by about 2035 under a twenty-percent learning rate, requiring on the order of</w:t>
      </w:r>
      <w:r>
        <w:t xml:space="preserve"> </w:t>
      </w:r>
      <w:r>
        <w:t xml:space="preserve">370,000 tonnes of additional cumulative launched mass, some 1,800 Starship launches, at which point</w:t>
      </w:r>
      <w:r>
        <w:t xml:space="preserve"> </w:t>
      </w:r>
      <w:r>
        <w:t xml:space="preserve">the launched-power price of roughly 810 dollars per kilowatt-year approaches the terrestrial</w:t>
      </w:r>
      <w:r>
        <w:t xml:space="preserve"> </w:t>
      </w:r>
      <w:r>
        <w:t xml:space="preserve">data-center power spend of 570 to 3,000 dollars per kilowatt-year.</w:t>
      </w:r>
    </w:p>
    <w:p>
      <w:pPr>
        <w:pStyle w:val="BodyText"/>
      </w:pPr>
      <w:r>
        <w:t xml:space="preserve">This forecast is assumption-fragile, so this study generates its own credibility band rather than</w:t>
      </w:r>
      <w:r>
        <w:t xml:space="preserve"> </w:t>
      </w:r>
      <w:r>
        <w:t xml:space="preserve">inheriting a single date. A Wright learning curve is applied to cumulative launched mass, with a</w:t>
      </w:r>
      <w:r>
        <w:t xml:space="preserve"> </w:t>
      </w:r>
      <w:r>
        <w:t xml:space="preserve">logistic ramp in launch cadence, and the unproven assumptions are sampled by Monte-Carlo: the</w:t>
      </w:r>
      <w:r>
        <w:t xml:space="preserve"> </w:t>
      </w:r>
      <w:r>
        <w:t xml:space="preserve">learning rate from fifteen to twenty-five percent, the 2026 effective price from 1,200 to 3,500</w:t>
      </w:r>
      <w:r>
        <w:t xml:space="preserve"> </w:t>
      </w:r>
      <w:r>
        <w:t xml:space="preserve">dollars per kilogram, the payload from 150 to 250 tonnes, and the peak cadence from 80 to 220</w:t>
      </w:r>
      <w:r>
        <w:t xml:space="preserve"> </w:t>
      </w:r>
      <w:r>
        <w:t xml:space="preserve">launches per year. The result (Fig. 22.1) places the median parity year near 2044, with a fifth</w:t>
      </w:r>
      <w:r>
        <w:t xml:space="preserve"> </w:t>
      </w:r>
      <w:r>
        <w:t xml:space="preserve">percentile of about 2037 and essentially no probability of reaching parity by 2035. The vendor’s</w:t>
      </w:r>
      <w:r>
        <w:t xml:space="preserve"> </w:t>
      </w:r>
      <w:r>
        <w:t xml:space="preserve">2035 date sits at the optimistic edge of the distribution and requires its specific aggressive</w:t>
      </w:r>
      <w:r>
        <w:t xml:space="preserve"> </w:t>
      </w:r>
      <w:r>
        <w:t xml:space="preserve">anchors, full reusability at 200 tonnes and roughly two million dollars marginal cost, sustained</w:t>
      </w:r>
      <w:r>
        <w:t xml:space="preserve"> </w:t>
      </w:r>
      <w:r>
        <w:t xml:space="preserve">twenty-percent learning from a low starting price.</w:t>
      </w:r>
    </w:p>
    <w:p>
      <w:pPr>
        <w:pStyle w:val="BodyText"/>
      </w:pPr>
      <w:r>
        <w:t xml:space="preserve">The prediction is that launch-cost parity is more likely to arrive in the late</w:t>
      </w:r>
      <w:r>
        <w:t xml:space="preserve"> </w:t>
      </w:r>
      <w:r>
        <w:t xml:space="preserve">2030s to mid-2040s than in 2035, and that it is necessary but not sufficient: even at parity, the</w:t>
      </w:r>
      <w:r>
        <w:t xml:space="preserve"> </w:t>
      </w:r>
      <w:r>
        <w:t xml:space="preserve">business case is gated by hardware cost, lifetime, and utilization.</w:t>
      </w:r>
    </w:p>
    <w:p>
      <w:pPr>
        <w:pStyle w:val="CaptionedFigure"/>
      </w:pPr>
      <w:r>
        <w:drawing>
          <wp:inline>
            <wp:extent cx="5334000" cy="2619768"/>
            <wp:effectExtent b="0" l="0" r="0" t="0"/>
            <wp:docPr descr="Fig. 22.1, Launch-cost learning curve (Monte-Carlo) and the distribution of the cost-parity year; median near 2044, later than the vendor’s 2035." title="" id="101" name="Picture"/>
            <a:graphic>
              <a:graphicData uri="http://schemas.openxmlformats.org/drawingml/2006/picture">
                <pic:pic>
                  <pic:nvPicPr>
                    <pic:cNvPr descr="figures_pred/fig_cost_parity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97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22.1, Launch-cost learning curve (Monte-Carlo) and the distribution of the cost-parity year; median near 2044, later than the vendor’s 2035.</w:t>
      </w:r>
    </w:p>
    <w:bookmarkEnd w:id="103"/>
    <w:bookmarkStart w:id="104" w:name="capability-and-risk-trajectory-2027-2035"/>
    <w:p>
      <w:pPr>
        <w:pStyle w:val="Heading2"/>
      </w:pPr>
      <w:r>
        <w:t xml:space="preserve">23. Capability and risk trajectory, 2027-2035</w:t>
      </w:r>
    </w:p>
    <w:p>
      <w:pPr>
        <w:pStyle w:val="FirstParagraph"/>
      </w:pPr>
      <w:r>
        <w:t xml:space="preserve">Synthesizing the technology-readiness picture of Chapter 2 with the engineering constraints of the</w:t>
      </w:r>
      <w:r>
        <w:t xml:space="preserve"> </w:t>
      </w:r>
      <w:r>
        <w:t xml:space="preserve">preceding chapters yields a defensible capability trajectory. By 2027, the demonstration missions</w:t>
      </w:r>
      <w:r>
        <w:t xml:space="preserve"> </w:t>
      </w:r>
      <w:r>
        <w:t xml:space="preserve">(the Suncatcher two-satellite prototype, Starcloud’s Blackwell-class follow-on) should place real</w:t>
      </w:r>
      <w:r>
        <w:t xml:space="preserve"> </w:t>
      </w:r>
      <w:r>
        <w:t xml:space="preserve">accelerators in orbit and exercise components, raising their readiness while leaving</w:t>
      </w:r>
      <w:r>
        <w:t xml:space="preserve"> </w:t>
      </w:r>
      <w:r>
        <w:t xml:space="preserve">constellation-scale operation unproven. Through 2028 to 2030, the gating demonstrations are flown</w:t>
      </w:r>
      <w:r>
        <w:t xml:space="preserve"> </w:t>
      </w:r>
      <w:r>
        <w:t xml:space="preserve">multi-terabit formation links, validated formation station-keeping under the differential drag of</w:t>
      </w:r>
      <w:r>
        <w:t xml:space="preserve"> </w:t>
      </w:r>
      <w:r>
        <w:t xml:space="preserve">the solar cycle, and, most importantly, autonomous, cluster-coordinated debris avoidance at</w:t>
      </w:r>
      <w:r>
        <w:t xml:space="preserve"> </w:t>
      </w:r>
      <w:r>
        <w:t xml:space="preserve">sub-kilometer spacing. From 2030 to 2035, if launch trends hold, niche economic cases emerge for</w:t>
      </w:r>
      <w:r>
        <w:t xml:space="preserve"> </w:t>
      </w:r>
      <w:r>
        <w:t xml:space="preserve">latency-critical or space-native workloads, while gigawatt scale remains aspirational and cost</w:t>
      </w:r>
      <w:r>
        <w:t xml:space="preserve"> </w:t>
      </w:r>
      <w:r>
        <w:t xml:space="preserve">parity, per Chapter 22, is unlikely before the mid-2030s.</w:t>
      </w:r>
    </w:p>
    <w:p>
      <w:pPr>
        <w:pStyle w:val="BodyText"/>
      </w:pPr>
      <w:r>
        <w:t xml:space="preserve">The debris-and-Kessler trajectory deserves particular attention: a one-kilometer cluster in the</w:t>
      </w:r>
      <w:r>
        <w:t xml:space="preserve"> </w:t>
      </w:r>
      <w:r>
        <w:t xml:space="preserve">congested 650-km shell raises both the catastrophic-impact exposure and the cascade hazard, and its</w:t>
      </w:r>
      <w:r>
        <w:t xml:space="preserve"> </w:t>
      </w:r>
      <w:r>
        <w:t xml:space="preserve">evolution depends on disposal compliance and avoidance autonomy. A flight program should quantify</w:t>
      </w:r>
      <w:r>
        <w:t xml:space="preserve"> </w:t>
      </w:r>
      <w:r>
        <w:t xml:space="preserve">this with the official ORDEM 3.2 and LEGEND tools before committing to constellation scale.</w:t>
      </w:r>
    </w:p>
    <w:p>
      <w:r>
        <w:pict>
          <v:rect style="width:0;height:1.5pt" o:hralign="center" o:hrstd="t" o:hr="t"/>
        </w:pict>
      </w:r>
    </w:p>
    <w:bookmarkEnd w:id="104"/>
    <w:bookmarkEnd w:id="105"/>
    <w:bookmarkStart w:id="111" w:name="part-vi-synthesis"/>
    <w:p>
      <w:pPr>
        <w:pStyle w:val="Heading1"/>
      </w:pPr>
      <w:r>
        <w:t xml:space="preserve">PART VI, SYNTHESIS</w:t>
      </w:r>
    </w:p>
    <w:bookmarkStart w:id="106" w:name="caveats-and-limitations"/>
    <w:p>
      <w:pPr>
        <w:pStyle w:val="Heading2"/>
      </w:pPr>
      <w:r>
        <w:t xml:space="preserve">24. Caveats and limitations</w:t>
      </w:r>
    </w:p>
    <w:p>
      <w:pPr>
        <w:pStyle w:val="FirstParagraph"/>
      </w:pPr>
      <w:r>
        <w:t xml:space="preserve">A complete assessment must state clearly what this study does and does not establish.</w:t>
      </w:r>
    </w:p>
    <w:p>
      <w:pPr>
        <w:pStyle w:val="BodyText"/>
      </w:pPr>
      <w:r>
        <w:t xml:space="preserve">On source quality: the single most load-bearing source for the radiation, link-budget, and</w:t>
      </w:r>
      <w:r>
        <w:t xml:space="preserve"> </w:t>
      </w:r>
      <w:r>
        <w:t xml:space="preserve">cost-parity claims is a non-peer-reviewed, vendor-authored preprint; its results are self-reported</w:t>
      </w:r>
      <w:r>
        <w:t xml:space="preserve"> </w:t>
      </w:r>
      <w:r>
        <w:t xml:space="preserve">and not independently replicated. On the technology-readiness gap: what has been demonstrated is one</w:t>
      </w:r>
      <w:r>
        <w:t xml:space="preserve"> </w:t>
      </w:r>
      <w:r>
        <w:t xml:space="preserve">data-center-class GPU in orbit, ground radiation testing of a TPU, a bench-scale optical link, and</w:t>
      </w:r>
      <w:r>
        <w:t xml:space="preserve"> </w:t>
      </w:r>
      <w:r>
        <w:t xml:space="preserve">kilowatt-class nodes; what the vision requires, megawatt-to-gigawatt clusters, flown multi-terabit</w:t>
      </w:r>
      <w:r>
        <w:t xml:space="preserve"> </w:t>
      </w:r>
      <w:r>
        <w:t xml:space="preserve">formation links, dramatically cheaper launch, and in-flight formation control, has not been</w:t>
      </w:r>
      <w:r>
        <w:t xml:space="preserve"> </w:t>
      </w:r>
      <w:r>
        <w:t xml:space="preserve">demonstrated. On model fidelity: the debris flux, atmospheric density, and radiative limits used</w:t>
      </w:r>
      <w:r>
        <w:t xml:space="preserve"> </w:t>
      </w:r>
      <w:r>
        <w:t xml:space="preserve">here are computed at first order with explicit uncertainty bands, not measured per-orbit; a flight</w:t>
      </w:r>
      <w:r>
        <w:t xml:space="preserve"> </w:t>
      </w:r>
      <w:r>
        <w:t xml:space="preserve">program would use the official agency tools (NASA DAS, ORDEM 3.2, ESA MASTER and DRAMA,</w:t>
      </w:r>
      <w:r>
        <w:t xml:space="preserve"> </w:t>
      </w:r>
      <w:r>
        <w:t xml:space="preserve">SPENVIS/SHIELDOSE-2) and a full thermal and orbit toolchain. The model also omits, by design, a</w:t>
      </w:r>
      <w:r>
        <w:t xml:space="preserve"> </w:t>
      </w:r>
      <w:r>
        <w:t xml:space="preserve">multi-node thermal finite-element analysis, a closed-loop attitude-control simulation, formal</w:t>
      </w:r>
      <w:r>
        <w:t xml:space="preserve"> </w:t>
      </w:r>
      <w:r>
        <w:t xml:space="preserve">failure-modes and effects analysis, micrometeoroid Whipple-shield sizing, and a full time-domain</w:t>
      </w:r>
      <w:r>
        <w:t xml:space="preserve"> </w:t>
      </w:r>
      <w:r>
        <w:t xml:space="preserve">mission simulation. Finally, several widely repeated marketing claims, notably</w:t>
      </w:r>
      <w:r>
        <w:t xml:space="preserve"> </w:t>
      </w:r>
      <w:r>
        <w:t xml:space="preserve">“ten times cheaper</w:t>
      </w:r>
      <w:r>
        <w:t xml:space="preserve"> </w:t>
      </w:r>
      <w:r>
        <w:t xml:space="preserve">including launch”</w:t>
      </w:r>
      <w:r>
        <w:t xml:space="preserve">, failed independent verification and are not relied upon here.</w:t>
      </w:r>
    </w:p>
    <w:p>
      <w:pPr>
        <w:pStyle w:val="BodyText"/>
      </w:pPr>
      <w:r>
        <w:t xml:space="preserve">These limitations do not undermine the study’s purpose, which is to size the problem, rank the</w:t>
      </w:r>
      <w:r>
        <w:t xml:space="preserve"> </w:t>
      </w:r>
      <w:r>
        <w:t xml:space="preserve">risks, and quantify the trades transparently. They do bound the confidence with which any single</w:t>
      </w:r>
      <w:r>
        <w:t xml:space="preserve"> </w:t>
      </w:r>
      <w:r>
        <w:t xml:space="preserve">number should be quoted, and they identify exactly where higher-fidelity work is needed next.</w:t>
      </w:r>
    </w:p>
    <w:bookmarkEnd w:id="106"/>
    <w:bookmarkStart w:id="110" w:name="X112718272980ce9d8db030edbf2c8e56c96c038"/>
    <w:p>
      <w:pPr>
        <w:pStyle w:val="Heading2"/>
      </w:pPr>
      <w:r>
        <w:t xml:space="preserve">25. Conclusions and the recommended demonstrator</w:t>
      </w:r>
    </w:p>
    <w:p>
      <w:pPr>
        <w:pStyle w:val="FirstParagraph"/>
      </w:pPr>
      <w:r>
        <w:t xml:space="preserve">The analysis supports a clear and defensible conclusion. Radiative cooling, the problem</w:t>
      </w:r>
      <w:r>
        <w:t xml:space="preserve"> </w:t>
      </w:r>
      <w:r>
        <w:t xml:space="preserve">most often assumed to be the obstacle, is the solved part, now flight-proven at the single-node</w:t>
      </w:r>
      <w:r>
        <w:t xml:space="preserve"> </w:t>
      </w:r>
      <w:r>
        <w:t xml:space="preserve">scale, with the caveat that it does not scale for free and that high-power chips require active</w:t>
      </w:r>
      <w:r>
        <w:t xml:space="preserve"> </w:t>
      </w:r>
      <w:r>
        <w:t xml:space="preserve">cooling at the die. Radiation is comfortably survivable with sensible shielding, at the cost of a</w:t>
      </w:r>
      <w:r>
        <w:t xml:space="preserve"> </w:t>
      </w:r>
      <w:r>
        <w:t xml:space="preserve">modest throughput tax. The binding, unsolved constraints are elsewhere: orbital-debris survivability</w:t>
      </w:r>
      <w:r>
        <w:t xml:space="preserve"> </w:t>
      </w:r>
      <w:r>
        <w:t xml:space="preserve">in a tight formation, where the same close spacing that enables terabit optical links makes a</w:t>
      </w:r>
      <w:r>
        <w:t xml:space="preserve"> </w:t>
      </w:r>
      <w:r>
        <w:t xml:space="preserve">fragmentation cascade and collision avoidance dangerous; credible end-of-life disposal, which the</w:t>
      </w:r>
      <w:r>
        <w:t xml:space="preserve"> </w:t>
      </w:r>
      <w:r>
        <w:t xml:space="preserve">650-km orbit cannot achieve passively within the five-year rule and which therefore mandates</w:t>
      </w:r>
      <w:r>
        <w:t xml:space="preserve"> </w:t>
      </w:r>
      <w:r>
        <w:t xml:space="preserve">propulsion; and economics, where the launch-cost parity that underwrites the business case is later</w:t>
      </w:r>
      <w:r>
        <w:t xml:space="preserve"> </w:t>
      </w:r>
      <w:r>
        <w:t xml:space="preserve">and less certain than advertised.</w:t>
      </w:r>
    </w:p>
    <w:p>
      <w:pPr>
        <w:pStyle w:val="BodyText"/>
      </w:pPr>
      <w:r>
        <w:t xml:space="preserve">The recommended program follows directly. It is precisely what the leading efforts are already doing:</w:t>
      </w:r>
      <w:r>
        <w:t xml:space="preserve"> </w:t>
      </w:r>
      <w:r>
        <w:t xml:space="preserve">small, attritable, one-or-two-satellite demonstrators that retire the risks that actually matter.</w:t>
      </w:r>
      <w:r>
        <w:t xml:space="preserve"> </w:t>
      </w:r>
      <w:r>
        <w:t xml:space="preserve">Such a demonstrator should measure in-situ radiation dose and upset rates on the target accelerator,</w:t>
      </w:r>
      <w:r>
        <w:t xml:space="preserve"> </w:t>
      </w:r>
      <w:r>
        <w:t xml:space="preserve">demonstrate a modular liquid-cooled radiator at real kilowatt-class chip power, demonstrate onboard</w:t>
      </w:r>
      <w:r>
        <w:t xml:space="preserve"> </w:t>
      </w:r>
      <w:r>
        <w:t xml:space="preserve">debris sensing and an autonomous avoidance maneuver, and demonstrate a controlled propulsive</w:t>
      </w:r>
      <w:r>
        <w:t xml:space="preserve"> </w:t>
      </w:r>
      <w:r>
        <w:t xml:space="preserve">de-orbit at end of mission. Constellation-scale deployment should be gated behind a demonstrated</w:t>
      </w:r>
      <w:r>
        <w:t xml:space="preserve"> </w:t>
      </w:r>
      <w:r>
        <w:t xml:space="preserve">answer to the formation-and-debris paradox, not behind a launch-cost milestone. The systems-level</w:t>
      </w:r>
      <w:r>
        <w:t xml:space="preserve"> </w:t>
      </w:r>
      <w:r>
        <w:t xml:space="preserve">risk picture is summarized in Fig. 25.1: cooling sits in the low-risk corner, while debris, disposal,</w:t>
      </w:r>
      <w:r>
        <w:t xml:space="preserve"> </w:t>
      </w:r>
      <w:r>
        <w:t xml:space="preserve">and economics sit in the high-risk corner, and that is where the engineering attention belongs.</w:t>
      </w:r>
    </w:p>
    <w:p>
      <w:pPr>
        <w:pStyle w:val="CaptionedFigure"/>
      </w:pPr>
      <w:r>
        <w:drawing>
          <wp:inline>
            <wp:extent cx="5334000" cy="4249493"/>
            <wp:effectExtent b="0" l="0" r="0" t="0"/>
            <wp:docPr descr="Fig. 25.1, Systems-level risk matrix: cooling is solved; debris, disposal, and economics are the open items." title="" id="108" name="Picture"/>
            <a:graphic>
              <a:graphicData uri="http://schemas.openxmlformats.org/drawingml/2006/picture">
                <pic:pic>
                  <pic:nvPicPr>
                    <pic:cNvPr descr="figures/fig7_risk_matrix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494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25.1, Systems-level risk matrix: cooling is solved; debris, disposal, and economics are the open items.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16" w:name="X2849ac850b034a4af8859258c8c59481bcc0a0d"/>
    <w:p>
      <w:pPr>
        <w:pStyle w:val="Heading1"/>
      </w:pPr>
      <w:r>
        <w:t xml:space="preserve">PART VII, DETAILED RESULTS, DATA, AND WORKED COMPUTATIONS</w:t>
      </w:r>
    </w:p>
    <w:bookmarkStart w:id="112" w:name="a-worked-end-to-end-computation"/>
    <w:p>
      <w:pPr>
        <w:pStyle w:val="Heading2"/>
      </w:pPr>
      <w:r>
        <w:t xml:space="preserve">26. A worked end-to-end computation</w:t>
      </w:r>
    </w:p>
    <w:p>
      <w:pPr>
        <w:pStyle w:val="FirstParagraph"/>
      </w:pPr>
      <w:r>
        <w:t xml:space="preserve">To make the integrated model concrete, this chapter walks through the reference design point exactly</w:t>
      </w:r>
      <w:r>
        <w:t xml:space="preserve"> </w:t>
      </w:r>
      <w:r>
        <w:t xml:space="preserve">as the code computes it, carrying the numbers at each step. The inputs are four TPU-class</w:t>
      </w:r>
      <w:r>
        <w:t xml:space="preserve"> </w:t>
      </w:r>
      <w:r>
        <w:t xml:space="preserve">accelerators at an estimated 200 W each, a 650-km dawn-dusk orbit, a radiator operating point of</w:t>
      </w:r>
      <w:r>
        <w:t xml:space="preserve"> </w:t>
      </w:r>
      <w:r>
        <w:t xml:space="preserve">45 C, 10 mm of aluminium shielding, a model-FLOPs utilization of 0.30, error-correcting memory with</w:t>
      </w:r>
      <w:r>
        <w:t xml:space="preserve"> </w:t>
      </w:r>
      <w:r>
        <w:t xml:space="preserve">checkpointing, moderate solar activity, and a launch price of 300 dollars per kilogram.</w:t>
      </w:r>
    </w:p>
    <w:p>
      <w:pPr>
        <w:pStyle w:val="BodyText"/>
      </w:pPr>
      <w:r>
        <w:t xml:space="preserve">The compute load is four times 200, or 800 W. The power budget adds 150 W of avionics, 80 W of</w:t>
      </w:r>
      <w:r>
        <w:t xml:space="preserve"> </w:t>
      </w:r>
      <w:r>
        <w:t xml:space="preserve">attitude control, 50 W of communications, 20 W of thermal control, and a fifteen-percent</w:t>
      </w:r>
      <w:r>
        <w:t xml:space="preserve"> </w:t>
      </w:r>
      <w:r>
        <w:t xml:space="preserve">contingency, giving a total electrical demand of 1,265 W and an electrical power-usage effectiveness</w:t>
      </w:r>
      <w:r>
        <w:t xml:space="preserve"> </w:t>
      </w:r>
      <w:r>
        <w:t xml:space="preserve">of 1.58 (Table T10). That total sizes a solar array of about five square meters and a small</w:t>
      </w:r>
      <w:r>
        <w:t xml:space="preserve"> </w:t>
      </w:r>
      <w:r>
        <w:t xml:space="preserve">dawn-dusk battery. The thermal load, compute plus avionics plus parasitic, sizes a modest radiator</w:t>
      </w:r>
      <w:r>
        <w:t xml:space="preserve"> </w:t>
      </w:r>
      <w:r>
        <w:t xml:space="preserve">by equation (10.3). The radiation dose behind 10 mm of aluminium is about 1.05 krad(Si) over five</w:t>
      </w:r>
      <w:r>
        <w:t xml:space="preserve"> </w:t>
      </w:r>
      <w:r>
        <w:t xml:space="preserve">years, comfortably within the memory tolerance (Table T4). The structural mass is taken as a fifth</w:t>
      </w:r>
      <w:r>
        <w:t xml:space="preserve"> </w:t>
      </w:r>
      <w:r>
        <w:t xml:space="preserve">of the supported mass, and the geometry yields an inertia of a few hundred kilogram-meters squared,</w:t>
      </w:r>
      <w:r>
        <w:t xml:space="preserve"> </w:t>
      </w:r>
      <w:r>
        <w:t xml:space="preserve">from which the gravity-gradient torque is of order one ten-thousandth of a newton-meter. Summing all</w:t>
      </w:r>
      <w:r>
        <w:t xml:space="preserve"> </w:t>
      </w:r>
      <w:r>
        <w:t xml:space="preserve">subsystems gives a dry mass near 220 kg (Table T9), from which the drag area sets a ballistic</w:t>
      </w:r>
      <w:r>
        <w:t xml:space="preserve"> </w:t>
      </w:r>
      <w:r>
        <w:t xml:space="preserve">coefficient that feeds a natural lifetime of roughly twelve to twenty-two years depending on solar</w:t>
      </w:r>
      <w:r>
        <w:t xml:space="preserve"> </w:t>
      </w:r>
      <w:r>
        <w:t xml:space="preserve">activity, failing the five-year rule and mandating the 132 m/s de-orbit burn of Table T7. The</w:t>
      </w:r>
      <w:r>
        <w:t xml:space="preserve"> </w:t>
      </w:r>
      <w:r>
        <w:t xml:space="preserve">coupled thermal-throttle simulation returns the delivered useful compute (about two-thirds of a</w:t>
      </w:r>
      <w:r>
        <w:t xml:space="preserve"> </w:t>
      </w:r>
      <w:r>
        <w:t xml:space="preserve">petaflop for this low-power, lightly throttled case), the ground-link model returns tens of</w:t>
      </w:r>
      <w:r>
        <w:t xml:space="preserve"> </w:t>
      </w:r>
      <w:r>
        <w:t xml:space="preserve">terabytes per day of downlink at ninety-six-percent availability, and the finance model returns a</w:t>
      </w:r>
      <w:r>
        <w:t xml:space="preserve"> </w:t>
      </w:r>
      <w:r>
        <w:t xml:space="preserve">levelized cost of roughly one hundred dollars per useful petaflop-hour (Table T11). Aggregating over</w:t>
      </w:r>
      <w:r>
        <w:t xml:space="preserve"> </w:t>
      </w:r>
      <w:r>
        <w:t xml:space="preserve">the eighty-one-satellite cluster gives the fleet totals of Table T12. Every one of these numbers is</w:t>
      </w:r>
      <w:r>
        <w:t xml:space="preserve"> </w:t>
      </w:r>
      <w:r>
        <w:t xml:space="preserve">produced by the open code and is reproduced by the validation suite.</w:t>
      </w:r>
    </w:p>
    <w:bookmarkEnd w:id="112"/>
    <w:bookmarkStart w:id="113" w:name="detailed-results-tables"/>
    <w:p>
      <w:pPr>
        <w:pStyle w:val="Heading2"/>
      </w:pPr>
      <w:r>
        <w:t xml:space="preserve">27. Detailed results tables</w:t>
      </w:r>
    </w:p>
    <w:p>
      <w:pPr>
        <w:pStyle w:val="FirstParagraph"/>
      </w:pPr>
      <w:r>
        <w:t xml:space="preserve">The following tables report the model output across the relevant input ranges. They are generated</w:t>
      </w:r>
      <w:r>
        <w:t xml:space="preserve"> </w:t>
      </w:r>
      <w:r>
        <w:t xml:space="preserve">directly by the model (</w:t>
      </w:r>
      <w:r>
        <w:rPr>
          <w:rStyle w:val="VerbatimChar"/>
        </w:rPr>
        <w:t xml:space="preserve">report/gen_tables.py</w:t>
      </w:r>
      <w:r>
        <w:t xml:space="preserve">) so that every value is consistent with the equations</w:t>
      </w:r>
      <w:r>
        <w:t xml:space="preserve"> </w:t>
      </w:r>
      <w:r>
        <w:t xml:space="preserve">of Parts II and III.</w:t>
      </w:r>
    </w:p>
    <w:p>
      <w:pPr>
        <w:pStyle w:val="BodyText"/>
      </w:pPr>
      <w:r>
        <w:rPr>
          <w:b/>
          <w:bCs/>
        </w:rPr>
        <w:t xml:space="preserve">Table T1, Orbital parameters versus altitude.</w:t>
      </w:r>
      <w:r>
        <w:t xml:space="preserve"> </w:t>
      </w:r>
      <w:r>
        <w:t xml:space="preserve">Speed, period, critical beta angle, and natural</w:t>
      </w:r>
      <w:r>
        <w:t xml:space="preserve"> </w:t>
      </w:r>
      <w:r>
        <w:t xml:space="preserve">lifetime. Note how steeply lifetime rises with altitude, and that 650 km already fails the five-year</w:t>
      </w:r>
      <w:r>
        <w:t xml:space="preserve"> </w:t>
      </w:r>
      <w:r>
        <w:t xml:space="preserve">rule at moderate solar activity.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Alt (km)</w:t>
            </w:r>
          </w:p>
        </w:tc>
        <w:tc>
          <w:tcPr/>
          <w:p>
            <w:pPr>
              <w:pStyle w:val="Compact"/>
            </w:pPr>
            <w:r>
              <w:t xml:space="preserve">v (km/s)</w:t>
            </w:r>
          </w:p>
        </w:tc>
        <w:tc>
          <w:tcPr/>
          <w:p>
            <w:pPr>
              <w:pStyle w:val="Compact"/>
            </w:pPr>
            <w:r>
              <w:t xml:space="preserve">Period (min)</w:t>
            </w:r>
          </w:p>
        </w:tc>
        <w:tc>
          <w:tcPr/>
          <w:p>
            <w:pPr>
              <w:pStyle w:val="Compact"/>
            </w:pPr>
            <w:r>
              <w:t xml:space="preserve">β* (deg)</w:t>
            </w:r>
          </w:p>
        </w:tc>
        <w:tc>
          <w:tcPr/>
          <w:p>
            <w:pPr>
              <w:pStyle w:val="Compact"/>
            </w:pPr>
            <w:r>
              <w:t xml:space="preserve">Lifetime, moderate (yr)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7.67</w:t>
            </w:r>
          </w:p>
        </w:tc>
        <w:tc>
          <w:tcPr/>
          <w:p>
            <w:pPr>
              <w:pStyle w:val="Compact"/>
            </w:pPr>
            <w:r>
              <w:t xml:space="preserve">92.4</w:t>
            </w:r>
          </w:p>
        </w:tc>
        <w:tc>
          <w:tcPr/>
          <w:p>
            <w:pPr>
              <w:pStyle w:val="Compact"/>
            </w:pPr>
            <w:r>
              <w:t xml:space="preserve">70.2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7.62</w:t>
            </w:r>
          </w:p>
        </w:tc>
        <w:tc>
          <w:tcPr/>
          <w:p>
            <w:pPr>
              <w:pStyle w:val="Compact"/>
            </w:pPr>
            <w:r>
              <w:t xml:space="preserve">94.5</w:t>
            </w:r>
          </w:p>
        </w:tc>
        <w:tc>
          <w:tcPr/>
          <w:p>
            <w:pPr>
              <w:pStyle w:val="Compact"/>
            </w:pPr>
            <w:r>
              <w:t xml:space="preserve">68.0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7.56</w:t>
            </w:r>
          </w:p>
        </w:tc>
        <w:tc>
          <w:tcPr/>
          <w:p>
            <w:pPr>
              <w:pStyle w:val="Compact"/>
            </w:pPr>
            <w:r>
              <w:t xml:space="preserve">96.5</w:t>
            </w:r>
          </w:p>
        </w:tc>
        <w:tc>
          <w:tcPr/>
          <w:p>
            <w:pPr>
              <w:pStyle w:val="Compact"/>
            </w:pPr>
            <w:r>
              <w:t xml:space="preserve">66.1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650</w:t>
            </w:r>
          </w:p>
        </w:tc>
        <w:tc>
          <w:tcPr/>
          <w:p>
            <w:pPr>
              <w:pStyle w:val="Compact"/>
            </w:pPr>
            <w:r>
              <w:t xml:space="preserve">7.53</w:t>
            </w:r>
          </w:p>
        </w:tc>
        <w:tc>
          <w:tcPr/>
          <w:p>
            <w:pPr>
              <w:pStyle w:val="Compact"/>
            </w:pPr>
            <w:r>
              <w:t xml:space="preserve">97.6</w:t>
            </w:r>
          </w:p>
        </w:tc>
        <w:tc>
          <w:tcPr/>
          <w:p>
            <w:pPr>
              <w:pStyle w:val="Compact"/>
            </w:pPr>
            <w:r>
              <w:t xml:space="preserve">65.2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700</w:t>
            </w:r>
          </w:p>
        </w:tc>
        <w:tc>
          <w:tcPr/>
          <w:p>
            <w:pPr>
              <w:pStyle w:val="Compact"/>
            </w:pPr>
            <w:r>
              <w:t xml:space="preserve">7.51</w:t>
            </w:r>
          </w:p>
        </w:tc>
        <w:tc>
          <w:tcPr/>
          <w:p>
            <w:pPr>
              <w:pStyle w:val="Compact"/>
            </w:pPr>
            <w:r>
              <w:t xml:space="preserve">98.6</w:t>
            </w:r>
          </w:p>
        </w:tc>
        <w:tc>
          <w:tcPr/>
          <w:p>
            <w:pPr>
              <w:pStyle w:val="Compact"/>
            </w:pPr>
            <w:r>
              <w:t xml:space="preserve">64.3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800</w:t>
            </w:r>
          </w:p>
        </w:tc>
        <w:tc>
          <w:tcPr/>
          <w:p>
            <w:pPr>
              <w:pStyle w:val="Compact"/>
            </w:pPr>
            <w:r>
              <w:t xml:space="preserve">7.46</w:t>
            </w:r>
          </w:p>
        </w:tc>
        <w:tc>
          <w:tcPr/>
          <w:p>
            <w:pPr>
              <w:pStyle w:val="Compact"/>
            </w:pPr>
            <w:r>
              <w:t xml:space="preserve">100.7</w:t>
            </w:r>
          </w:p>
        </w:tc>
        <w:tc>
          <w:tcPr/>
          <w:p>
            <w:pPr>
              <w:pStyle w:val="Compact"/>
            </w:pPr>
            <w:r>
              <w:t xml:space="preserve">62.7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7.35</w:t>
            </w:r>
          </w:p>
        </w:tc>
        <w:tc>
          <w:tcPr/>
          <w:p>
            <w:pPr>
              <w:pStyle w:val="Compact"/>
            </w:pPr>
            <w:r>
              <w:t xml:space="preserve">105.0</w:t>
            </w:r>
          </w:p>
        </w:tc>
        <w:tc>
          <w:tcPr/>
          <w:p>
            <w:pPr>
              <w:pStyle w:val="Compact"/>
            </w:pPr>
            <w:r>
              <w:t xml:space="preserve">59.8</w:t>
            </w:r>
          </w:p>
        </w:tc>
        <w:tc>
          <w:tcPr/>
          <w:p>
            <w:pPr>
              <w:pStyle w:val="Compact"/>
            </w:pPr>
            <w:r>
              <w:t xml:space="preserve">309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T2, Radiator area (m²) versus heat load and operating temperature</w:t>
      </w:r>
      <w:r>
        <w:t xml:space="preserve"> </w:t>
      </w:r>
      <w:r>
        <w:t xml:space="preserve">(double-sided,</w:t>
      </w:r>
      <w:r>
        <w:t xml:space="preserve"> </w:t>
      </w:r>
      <w:r>
        <w:t xml:space="preserve">ε = 0.90, 12 % parasitic). The linearity in load and the benefit of running hot are both visible.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Heat load</w:t>
            </w:r>
          </w:p>
        </w:tc>
        <w:tc>
          <w:tcPr/>
          <w:p>
            <w:pPr>
              <w:pStyle w:val="Compact"/>
            </w:pPr>
            <w:r>
              <w:t xml:space="preserve">20 C</w:t>
            </w:r>
          </w:p>
        </w:tc>
        <w:tc>
          <w:tcPr/>
          <w:p>
            <w:pPr>
              <w:pStyle w:val="Compact"/>
            </w:pPr>
            <w:r>
              <w:t xml:space="preserve">40 C</w:t>
            </w:r>
          </w:p>
        </w:tc>
        <w:tc>
          <w:tcPr/>
          <w:p>
            <w:pPr>
              <w:pStyle w:val="Compact"/>
            </w:pPr>
            <w:r>
              <w:t xml:space="preserve">60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kW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kW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 kW</w:t>
            </w:r>
          </w:p>
        </w:tc>
        <w:tc>
          <w:tcPr/>
          <w:p>
            <w:pPr>
              <w:pStyle w:val="Compact"/>
            </w:pPr>
            <w:r>
              <w:t xml:space="preserve">151</w:t>
            </w:r>
          </w:p>
        </w:tc>
        <w:tc>
          <w:tcPr/>
          <w:p>
            <w:pPr>
              <w:pStyle w:val="Compact"/>
            </w:pPr>
            <w:r>
              <w:t xml:space="preserve">116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MW</w:t>
            </w:r>
          </w:p>
        </w:tc>
        <w:tc>
          <w:tcPr/>
          <w:p>
            <w:pPr>
              <w:pStyle w:val="Compact"/>
            </w:pPr>
            <w:r>
              <w:t xml:space="preserve">1,508</w:t>
            </w:r>
          </w:p>
        </w:tc>
        <w:tc>
          <w:tcPr/>
          <w:p>
            <w:pPr>
              <w:pStyle w:val="Compact"/>
            </w:pPr>
            <w:r>
              <w:t xml:space="preserve">1,158</w:t>
            </w:r>
          </w:p>
        </w:tc>
        <w:tc>
          <w:tcPr/>
          <w:p>
            <w:pPr>
              <w:pStyle w:val="Compact"/>
            </w:pPr>
            <w:r>
              <w:t xml:space="preserve">904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T3, Chip-interface temperature rise and passive feasibility</w:t>
      </w:r>
      <w:r>
        <w:t xml:space="preserve"> </w:t>
      </w:r>
      <w:r>
        <w:t xml:space="preserve">(R_th = 0.30 K/W). The</w:t>
      </w:r>
      <w:r>
        <w:t xml:space="preserve"> </w:t>
      </w:r>
      <w:r>
        <w:t xml:space="preserve">interface wall is stark: every GPU-class part exceeds the entire 125 C budget across the chain alone.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Chip</w:t>
            </w:r>
          </w:p>
        </w:tc>
        <w:tc>
          <w:tcPr/>
          <w:p>
            <w:pPr>
              <w:pStyle w:val="Compact"/>
            </w:pPr>
            <w:r>
              <w:t xml:space="preserve">TDP (W)</w:t>
            </w:r>
          </w:p>
        </w:tc>
        <w:tc>
          <w:tcPr/>
          <w:p>
            <w:pPr>
              <w:pStyle w:val="Compact"/>
            </w:pPr>
            <w:r>
              <w:t xml:space="preserve">Interface ΔT (C)</w:t>
            </w:r>
          </w:p>
        </w:tc>
        <w:tc>
          <w:tcPr/>
          <w:p>
            <w:pPr>
              <w:pStyle w:val="Compact"/>
            </w:pPr>
            <w:r>
              <w:t xml:space="preserve">Passive feasible (&lt;125)?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TPU v6e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TPU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H100</w:t>
            </w:r>
          </w:p>
        </w:tc>
        <w:tc>
          <w:tcPr/>
          <w:p>
            <w:pPr>
              <w:pStyle w:val="Compact"/>
            </w:pPr>
            <w:r>
              <w:t xml:space="preserve">700</w:t>
            </w:r>
          </w:p>
        </w:tc>
        <w:tc>
          <w:tcPr/>
          <w:p>
            <w:pPr>
              <w:pStyle w:val="Compact"/>
            </w:pPr>
            <w:r>
              <w:t xml:space="preserve">210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B200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GB200</w:t>
            </w:r>
          </w:p>
        </w:tc>
        <w:tc>
          <w:tcPr/>
          <w:p>
            <w:pPr>
              <w:pStyle w:val="Compact"/>
            </w:pPr>
            <w:r>
              <w:t xml:space="preserve">1200</w:t>
            </w:r>
          </w:p>
        </w:tc>
        <w:tc>
          <w:tcPr/>
          <w:p>
            <w:pPr>
              <w:pStyle w:val="Compact"/>
            </w:pPr>
            <w:r>
              <w:t xml:space="preserve">360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T4, Cumulative total ionizing dose, rad(Si), versus aluminium shielding.</w:t>
      </w:r>
      <w:r>
        <w:t xml:space="preserve"> </w:t>
      </w:r>
      <w:r>
        <w:t xml:space="preserve">The 10-mm,</w:t>
      </w:r>
      <w:r>
        <w:t xml:space="preserve"> </w:t>
      </w:r>
      <w:r>
        <w:t xml:space="preserve">five-year value of ~1 krad sits comfortably below the 2-krad first-irregularity threshold.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 (mm)</w:t>
            </w:r>
          </w:p>
        </w:tc>
        <w:tc>
          <w:tcPr/>
          <w:p>
            <w:pPr>
              <w:pStyle w:val="Compact"/>
            </w:pPr>
            <w:r>
              <w:t xml:space="preserve">5-yr (rad)</w:t>
            </w:r>
          </w:p>
        </w:tc>
        <w:tc>
          <w:tcPr/>
          <w:p>
            <w:pPr>
              <w:pStyle w:val="Compact"/>
            </w:pPr>
            <w:r>
              <w:t xml:space="preserve">10-yr (rad)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81,169</w:t>
            </w:r>
          </w:p>
        </w:tc>
        <w:tc>
          <w:tcPr/>
          <w:p>
            <w:pPr>
              <w:pStyle w:val="Compact"/>
            </w:pPr>
            <w:r>
              <w:t xml:space="preserve">162,339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25,479</w:t>
            </w:r>
          </w:p>
        </w:tc>
        <w:tc>
          <w:tcPr/>
          <w:p>
            <w:pPr>
              <w:pStyle w:val="Compact"/>
            </w:pPr>
            <w:r>
              <w:t xml:space="preserve">50,959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8,307</w:t>
            </w:r>
          </w:p>
        </w:tc>
        <w:tc>
          <w:tcPr/>
          <w:p>
            <w:pPr>
              <w:pStyle w:val="Compact"/>
            </w:pPr>
            <w:r>
              <w:t xml:space="preserve">16,613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1,054</w:t>
            </w:r>
          </w:p>
        </w:tc>
        <w:tc>
          <w:tcPr/>
          <w:p>
            <w:pPr>
              <w:pStyle w:val="Compact"/>
            </w:pPr>
            <w:r>
              <w:t xml:space="preserve">2,109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671</w:t>
            </w:r>
          </w:p>
        </w:tc>
        <w:tc>
          <w:tcPr/>
          <w:p>
            <w:pPr>
              <w:pStyle w:val="Compact"/>
            </w:pPr>
            <w:r>
              <w:t xml:space="preserve">1,343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651</w:t>
            </w:r>
          </w:p>
        </w:tc>
        <w:tc>
          <w:tcPr/>
          <w:p>
            <w:pPr>
              <w:pStyle w:val="Compact"/>
            </w:pPr>
            <w:r>
              <w:t xml:space="preserve">1,302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T5, Catastrophic (&gt;1 cm) debris probability (%) for the 81-satellite cluster.</w:t>
      </w:r>
      <w:r>
        <w:t xml:space="preserve"> </w:t>
      </w:r>
      <w:r>
        <w:t xml:space="preserve">The</w:t>
      </w:r>
      <w:r>
        <w:t xml:space="preserve"> </w:t>
      </w:r>
      <w:r>
        <w:t xml:space="preserve">low/mid/high columns span the ORDEM/MASTER flux band.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Years</w:t>
            </w:r>
          </w:p>
        </w:tc>
        <w:tc>
          <w:tcPr/>
          <w:p>
            <w:pPr>
              <w:pStyle w:val="Compact"/>
            </w:pPr>
            <w:r>
              <w:t xml:space="preserve">low flux</w:t>
            </w:r>
          </w:p>
        </w:tc>
        <w:tc>
          <w:tcPr/>
          <w:p>
            <w:pPr>
              <w:pStyle w:val="Compact"/>
            </w:pPr>
            <w:r>
              <w:t xml:space="preserve">mid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  <w:tc>
          <w:tcPr/>
          <w:p>
            <w:pPr>
              <w:pStyle w:val="Compact"/>
            </w:pPr>
            <w:r>
              <w:t xml:space="preserve">11.4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2.4</w:t>
            </w:r>
          </w:p>
        </w:tc>
        <w:tc>
          <w:tcPr/>
          <w:p>
            <w:pPr>
              <w:pStyle w:val="Compact"/>
            </w:pPr>
            <w:r>
              <w:t xml:space="preserve">7.0</w:t>
            </w:r>
          </w:p>
        </w:tc>
        <w:tc>
          <w:tcPr/>
          <w:p>
            <w:pPr>
              <w:pStyle w:val="Compact"/>
            </w:pPr>
            <w:r>
              <w:t xml:space="preserve">21.6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  <w:tc>
          <w:tcPr/>
          <w:p>
            <w:pPr>
              <w:pStyle w:val="Compact"/>
            </w:pPr>
            <w:r>
              <w:t xml:space="preserve">10.4</w:t>
            </w:r>
          </w:p>
        </w:tc>
        <w:tc>
          <w:tcPr/>
          <w:p>
            <w:pPr>
              <w:pStyle w:val="Compact"/>
            </w:pPr>
            <w:r>
              <w:t xml:space="preserve">30.5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5.9</w:t>
            </w:r>
          </w:p>
        </w:tc>
        <w:tc>
          <w:tcPr/>
          <w:p>
            <w:pPr>
              <w:pStyle w:val="Compact"/>
            </w:pPr>
            <w:r>
              <w:t xml:space="preserve">16.7</w:t>
            </w:r>
          </w:p>
        </w:tc>
        <w:tc>
          <w:tcPr/>
          <w:p>
            <w:pPr>
              <w:pStyle w:val="Compact"/>
            </w:pPr>
            <w:r>
              <w:t xml:space="preserve">45.5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8.2</w:t>
            </w:r>
          </w:p>
        </w:tc>
        <w:tc>
          <w:tcPr/>
          <w:p>
            <w:pPr>
              <w:pStyle w:val="Compact"/>
            </w:pPr>
            <w:r>
              <w:t xml:space="preserve">22.5</w:t>
            </w:r>
          </w:p>
        </w:tc>
        <w:tc>
          <w:tcPr/>
          <w:p>
            <w:pPr>
              <w:pStyle w:val="Compact"/>
            </w:pPr>
            <w:r>
              <w:t xml:space="preserve">57.3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11.4</w:t>
            </w:r>
          </w:p>
        </w:tc>
        <w:tc>
          <w:tcPr/>
          <w:p>
            <w:pPr>
              <w:pStyle w:val="Compact"/>
            </w:pPr>
            <w:r>
              <w:t xml:space="preserve">30.5</w:t>
            </w:r>
          </w:p>
        </w:tc>
        <w:tc>
          <w:tcPr/>
          <w:p>
            <w:pPr>
              <w:pStyle w:val="Compact"/>
            </w:pPr>
            <w:r>
              <w:t xml:space="preserve">70.3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T6, In-cluster cascade neighbor-hit probability (%) versus formation spacing.</w:t>
      </w:r>
      <w:r>
        <w:t xml:space="preserve"> </w:t>
      </w:r>
      <w:r>
        <w:t xml:space="preserve">The</w:t>
      </w:r>
      <w:r>
        <w:t xml:space="preserve"> </w:t>
      </w:r>
      <w:r>
        <w:t xml:space="preserve">inverse-square fall-off is the formation paradox quantified.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Spacing (m)</w:t>
            </w:r>
          </w:p>
        </w:tc>
        <w:tc>
          <w:tcPr/>
          <w:p>
            <w:pPr>
              <w:pStyle w:val="Compact"/>
            </w:pPr>
            <w:r>
              <w:t xml:space="preserve">P_hit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18.1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8.5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4.9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T7, Per-satellite Δv budget and propellant.</w:t>
      </w:r>
      <w:r>
        <w:t xml:space="preserve"> </w:t>
      </w:r>
      <w:r>
        <w:t xml:space="preserve">De-orbit dominates; electric propulsion is</w:t>
      </w:r>
      <w:r>
        <w:t xml:space="preserve"> </w:t>
      </w:r>
      <w:r>
        <w:t xml:space="preserve">dramatically lighter.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Δv component</w:t>
            </w:r>
          </w:p>
        </w:tc>
        <w:tc>
          <w:tcPr/>
          <w:p>
            <w:pPr>
              <w:pStyle w:val="Compact"/>
            </w:pPr>
            <w:r>
              <w:t xml:space="preserve">Value (m/s)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Drag make-up</w:t>
            </w:r>
          </w:p>
        </w:tc>
        <w:tc>
          <w:tcPr/>
          <w:p>
            <w:pPr>
              <w:pStyle w:val="Compact"/>
            </w:pPr>
            <w:r>
              <w:t xml:space="preserve">14.7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Formation keeping</w:t>
            </w:r>
          </w:p>
        </w:tc>
        <w:tc>
          <w:tcPr/>
          <w:p>
            <w:pPr>
              <w:pStyle w:val="Compact"/>
            </w:pPr>
            <w:r>
              <w:t xml:space="preserve">8.0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Collision avoidance</w:t>
            </w:r>
          </w:p>
        </w:tc>
        <w:tc>
          <w:tcPr/>
          <w:p>
            <w:pPr>
              <w:pStyle w:val="Compact"/>
            </w:pPr>
            <w:r>
              <w:t xml:space="preserve">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Controlled de-orbit</w:t>
            </w:r>
          </w:p>
        </w:tc>
        <w:tc>
          <w:tcPr/>
          <w:p>
            <w:pPr>
              <w:pStyle w:val="Compact"/>
            </w:pPr>
            <w:r>
              <w:t xml:space="preserve">131.6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Margin (20 %)</w:t>
            </w:r>
          </w:p>
        </w:tc>
        <w:tc>
          <w:tcPr/>
          <w:p>
            <w:pPr>
              <w:pStyle w:val="Compact"/>
            </w:pPr>
            <w:r>
              <w:t xml:space="preserve">31.9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191.2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Propulsion</w:t>
            </w:r>
          </w:p>
        </w:tc>
        <w:tc>
          <w:tcPr/>
          <w:p>
            <w:pPr>
              <w:pStyle w:val="Compact"/>
            </w:pPr>
            <w:r>
              <w:t xml:space="preserve">Isp (s)</w:t>
            </w:r>
          </w:p>
        </w:tc>
        <w:tc>
          <w:tcPr/>
          <w:p>
            <w:pPr>
              <w:pStyle w:val="Compact"/>
            </w:pPr>
            <w:r>
              <w:t xml:space="preserve">Propellant for total Δv (kg)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Cold gas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Hydrazine</w:t>
            </w:r>
          </w:p>
        </w:tc>
        <w:tc>
          <w:tcPr/>
          <w:p>
            <w:pPr>
              <w:pStyle w:val="Compact"/>
            </w:pPr>
            <w:r>
              <w:t xml:space="preserve">220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Electric</w:t>
            </w:r>
          </w:p>
        </w:tc>
        <w:tc>
          <w:tcPr/>
          <w:p>
            <w:pPr>
              <w:pStyle w:val="Compact"/>
            </w:pPr>
            <w:r>
              <w:t xml:space="preserve">1500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T8, Optical link budget versus range</w:t>
      </w:r>
      <w:r>
        <w:t xml:space="preserve"> </w:t>
      </w:r>
      <w:r>
        <w:t xml:space="preserve">(D = 0.1 m, λ = 1.55 µm). The +20 dB per decade of</w:t>
      </w:r>
      <w:r>
        <w:t xml:space="preserve"> </w:t>
      </w:r>
      <w:r>
        <w:t xml:space="preserve">range, against a fixed ~106 dB telescope gain, is why the cluster must be tight.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Telescope gain (dB)</w:t>
            </w:r>
          </w:p>
        </w:tc>
        <w:tc>
          <w:tcPr/>
          <w:p>
            <w:pPr>
              <w:pStyle w:val="Compact"/>
            </w:pPr>
            <w:r>
              <w:t xml:space="preserve">Free-space loss (dB)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 m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182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km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198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 km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238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1000 km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258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10000 km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278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T9, Reference satellite mass budget</w:t>
      </w:r>
      <w:r>
        <w:t xml:space="preserve"> </w:t>
      </w:r>
      <w:r>
        <w:t xml:space="preserve">(four-chip bus, closed by the integrated model).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Subsystem</w:t>
            </w:r>
          </w:p>
        </w:tc>
        <w:tc>
          <w:tcPr/>
          <w:p>
            <w:pPr>
              <w:pStyle w:val="Compact"/>
            </w:pPr>
            <w:r>
              <w:t xml:space="preserve">Mass (kg)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Shielding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Avionics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ADCS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Harness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Propulsion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Payload (chips)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Thermal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Dry 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Launch mass</w:t>
            </w:r>
          </w:p>
        </w:tc>
        <w:tc>
          <w:tcPr/>
          <w:p>
            <w:pPr>
              <w:pStyle w:val="Compact"/>
            </w:pPr>
            <w:r>
              <w:t xml:space="preserve">233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T10, Reference power budget.</w:t>
      </w:r>
      <w:r>
        <w:t xml:space="preserve"> </w:t>
      </w:r>
      <w:r>
        <w:t xml:space="preserve">Non-compute overhead dominates a small bus, giving an</w:t>
      </w:r>
      <w:r>
        <w:t xml:space="preserve"> </w:t>
      </w:r>
      <w:r>
        <w:t xml:space="preserve">electrical PUE near 1.6; efficiency improves only at many-chip scale.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Consumer</w:t>
            </w:r>
          </w:p>
        </w:tc>
        <w:tc>
          <w:tcPr/>
          <w:p>
            <w:pPr>
              <w:pStyle w:val="Compact"/>
            </w:pPr>
            <w:r>
              <w:t xml:space="preserve">Power (W)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Avionics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ADCS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Communications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Thermal control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Contingency</w:t>
            </w:r>
          </w:p>
        </w:tc>
        <w:tc>
          <w:tcPr/>
          <w:p>
            <w:pPr>
              <w:pStyle w:val="Compact"/>
            </w:pPr>
            <w:r>
              <w:t xml:space="preserve">165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1,265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Electrical PUE</w:t>
            </w:r>
          </w:p>
        </w:tc>
        <w:tc>
          <w:tcPr/>
          <w:p>
            <w:pPr>
              <w:pStyle w:val="Compact"/>
            </w:pPr>
            <w:r>
              <w:t xml:space="preserve">1.58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T11, Reference design-point summary</w:t>
      </w:r>
      <w:r>
        <w:t xml:space="preserve"> </w:t>
      </w:r>
      <w:r>
        <w:t xml:space="preserve">(all model outputs).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 power (W)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power (W)</w:t>
            </w:r>
          </w:p>
        </w:tc>
        <w:tc>
          <w:tcPr/>
          <w:p>
            <w:pPr>
              <w:pStyle w:val="Compact"/>
            </w:pPr>
            <w:r>
              <w:t xml:space="preserve">1,265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Effective PUE</w:t>
            </w:r>
          </w:p>
        </w:tc>
        <w:tc>
          <w:tcPr/>
          <w:p>
            <w:pPr>
              <w:pStyle w:val="Compact"/>
            </w:pPr>
            <w:r>
              <w:t xml:space="preserve">1.84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Radiator area (m²)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5-yr dose behind 10 mm (rad)</w:t>
            </w:r>
          </w:p>
        </w:tc>
        <w:tc>
          <w:tcPr/>
          <w:p>
            <w:pPr>
              <w:pStyle w:val="Compact"/>
            </w:pPr>
            <w:r>
              <w:t xml:space="preserve">1,054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Dose margin (vs 2 krad)</w:t>
            </w:r>
          </w:p>
        </w:tc>
        <w:tc>
          <w:tcPr/>
          <w:p>
            <w:pPr>
              <w:pStyle w:val="Compact"/>
            </w:pPr>
            <w:r>
              <w:t xml:space="preserve">1.9×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lifetime (yr)</w:t>
            </w:r>
          </w:p>
        </w:tc>
        <w:tc>
          <w:tcPr/>
          <w:p>
            <w:pPr>
              <w:pStyle w:val="Compact"/>
            </w:pPr>
            <w:r>
              <w:t xml:space="preserve">11.5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Debris P (5 yr)</w:t>
            </w:r>
          </w:p>
        </w:tc>
        <w:tc>
          <w:tcPr/>
          <w:p>
            <w:pPr>
              <w:pStyle w:val="Compact"/>
            </w:pPr>
            <w:r>
              <w:t xml:space="preserve">0.17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Delivered (PFLOPS)</w:t>
            </w:r>
          </w:p>
        </w:tc>
        <w:tc>
          <w:tcPr/>
          <w:p>
            <w:pPr>
              <w:pStyle w:val="Compact"/>
            </w:pPr>
            <w:r>
              <w:t xml:space="preserve">0.67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Throttle loss</w:t>
            </w:r>
          </w:p>
        </w:tc>
        <w:tc>
          <w:tcPr/>
          <w:p>
            <w:pPr>
              <w:pStyle w:val="Compact"/>
            </w:pPr>
            <w:r>
              <w:t xml:space="preserve">14 %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Ground downlink (TB/day)</w:t>
            </w:r>
          </w:p>
        </w:tc>
        <w:tc>
          <w:tcPr/>
          <w:p>
            <w:pPr>
              <w:pStyle w:val="Compact"/>
            </w:pPr>
            <w:r>
              <w:t xml:space="preserve">26.9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LCOE (USD/PFLOP-hr)</w:t>
            </w:r>
          </w:p>
        </w:tc>
        <w:tc>
          <w:tcPr/>
          <w:p>
            <w:pPr>
              <w:pStyle w:val="Compact"/>
            </w:pPr>
            <w:r>
              <w:t xml:space="preserve">108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T12, Constellation summary (81 satellites).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Fleet compute (PFLOPS)</w:t>
            </w:r>
          </w:p>
        </w:tc>
        <w:tc>
          <w:tcPr/>
          <w:p>
            <w:pPr>
              <w:pStyle w:val="Compact"/>
            </w:pPr>
            <w:r>
              <w:t xml:space="preserve">54.1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Fleet power (MW)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CAPEX (USD)</w:t>
            </w:r>
          </w:p>
        </w:tc>
        <w:tc>
          <w:tcPr/>
          <w:p>
            <w:pPr>
              <w:pStyle w:val="Compact"/>
            </w:pPr>
            <w:r>
              <w:t xml:space="preserve">146,621,400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10-yr TCO (USD)</w:t>
            </w:r>
          </w:p>
        </w:tc>
        <w:tc>
          <w:tcPr/>
          <w:p>
            <w:pPr>
              <w:pStyle w:val="Compact"/>
            </w:pPr>
            <w:r>
              <w:t xml:space="preserve">317,621,400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Capacity availability</w:t>
            </w:r>
          </w:p>
        </w:tc>
        <w:tc>
          <w:tcPr/>
          <w:p>
            <w:pPr>
              <w:pStyle w:val="Compact"/>
            </w:pPr>
            <w:r>
              <w:t xml:space="preserve">0.89</w:t>
            </w:r>
          </w:p>
        </w:tc>
      </w:tr>
    </w:tbl>
    <w:bookmarkEnd w:id="113"/>
    <w:bookmarkStart w:id="114" w:name="X4ef80d11b7a22aeebf52f8f551fc1d287f74ce6"/>
    <w:p>
      <w:pPr>
        <w:pStyle w:val="Heading2"/>
      </w:pPr>
      <w:r>
        <w:t xml:space="preserve">28. Constellation design and relative dynamics</w:t>
      </w:r>
    </w:p>
    <w:p>
      <w:pPr>
        <w:pStyle w:val="FirstParagraph"/>
      </w:pPr>
      <w:r>
        <w:t xml:space="preserve">The eighty-one satellites do not fly in a rigid grid; they orbit in a loose formation governed by</w:t>
      </w:r>
      <w:r>
        <w:t xml:space="preserve"> </w:t>
      </w:r>
      <w:r>
        <w:t xml:space="preserve">the linearized relative equations of motion. About a circular reference orbit of mean motion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 Clohessy-Wiltshire (Hill) equations describe a satellite’s position relative to a co-orbiting</w:t>
      </w:r>
      <w:r>
        <w:t xml:space="preserve"> </w:t>
      </w:r>
      <w:r>
        <w:t xml:space="preserve">frame: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̈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r>
            <m:t>3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t>x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acc>
            <m:accPr>
              <m:chr m:val="̇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,</m:t>
          </m:r>
          <m:r>
            <m:t> </m:t>
          </m:r>
          <m:acc>
            <m:accPr>
              <m:chr m:val="̈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n</m:t>
          </m:r>
          <m:acc>
            <m:accPr>
              <m:chr m:val="̇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,</m:t>
          </m:r>
          <m:r>
            <m:t> </m:t>
          </m:r>
          <m:acc>
            <m:accPr>
              <m:chr m:val="̈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t>z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the absence of forcing, the radial (</w:t>
      </w:r>
      <m:oMath>
        <m:r>
          <m:t>x</m:t>
        </m:r>
      </m:oMath>
      <w:r>
        <w:t xml:space="preserve">) and cross-track (</w:t>
      </w:r>
      <m:oMath>
        <m:r>
          <m:t>z</m:t>
        </m:r>
      </m:oMath>
      <w:r>
        <w:t xml:space="preserve">) modes oscillate at the orbital</w:t>
      </w:r>
      <w:r>
        <w:t xml:space="preserve"> </w:t>
      </w:r>
      <w:r>
        <w:t xml:space="preserve">rate</w:t>
      </w:r>
      <w:r>
        <w:t xml:space="preserve"> </w:t>
      </w:r>
      <m:oMath>
        <m:r>
          <m:t>n</m:t>
        </m:r>
      </m:oMath>
      <w:r>
        <w:t xml:space="preserve">, while the along-track (</w:t>
      </w:r>
      <m:oMath>
        <m:r>
          <m:t>y</m:t>
        </m:r>
      </m:oMath>
      <w:r>
        <w:t xml:space="preserve">) motion contains a secular term: any small difference in energy</w:t>
      </w:r>
      <w:r>
        <w:t xml:space="preserve"> </w:t>
      </w:r>
      <w:r>
        <w:t xml:space="preserve">or any differential acceleration produces a drift that grows linearly in time, and a differential</w:t>
      </w:r>
      <w:r>
        <w:t xml:space="preserve"> </w:t>
      </w:r>
      <w:r>
        <w:t xml:space="preserve">along-track acceleration produces a drift that grows as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 This is the central challenge of the</w:t>
      </w:r>
      <w:r>
        <w:t xml:space="preserve"> </w:t>
      </w:r>
      <w:r>
        <w:t xml:space="preserve">formation: because the satellites have slightly different ballistic coefficients, differential</w:t>
      </w:r>
      <w:r>
        <w:t xml:space="preserve"> </w:t>
      </w:r>
      <w:r>
        <w:t xml:space="preserve">atmospheric drag, itself varying by a factor of one hundred over the solar cycle, drives an</w:t>
      </w:r>
      <w:r>
        <w:t xml:space="preserve"> </w:t>
      </w:r>
      <w:r>
        <w:t xml:space="preserve">along-track drift of order</w:t>
      </w:r>
      <w:r>
        <w:t xml:space="preserve"> </w:t>
      </w:r>
      <m:oMath>
        <m:r>
          <m:t>1.5</m:t>
        </m:r>
        <m:r>
          <m:t> </m:t>
        </m:r>
        <m:r>
          <m:t>δ</m:t>
        </m:r>
        <m:sSub>
          <m:e>
            <m:r>
              <m:t>a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sub>
        </m:sSub>
        <m:r>
          <m:t> 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 With a 150-m spacing budget, even</w:t>
      </w:r>
      <w:r>
        <w:t xml:space="preserve"> </w:t>
      </w:r>
      <w:r>
        <w:t xml:space="preserve">a small differential acceleration consumes the margin within hours to days, so the formation</w:t>
      </w:r>
      <w:r>
        <w:t xml:space="preserve"> </w:t>
      </w:r>
      <w:r>
        <w:t xml:space="preserve">requires active relative control. The propellant for this control is modest (Table T7), but the</w:t>
      </w:r>
      <w:r>
        <w:t xml:space="preserve"> </w:t>
      </w:r>
      <w:r>
        <w:t xml:space="preserve">sensing and autonomy are not: maintaining a sub-200-m formation while remaining able to perform a</w:t>
      </w:r>
      <w:r>
        <w:t xml:space="preserve"> </w:t>
      </w:r>
      <w:r>
        <w:t xml:space="preserve">collision-avoidance maneuver, without that maneuver endangering a neighbor, is an unsolved control</w:t>
      </w:r>
      <w:r>
        <w:t xml:space="preserve"> </w:t>
      </w:r>
      <w:r>
        <w:t xml:space="preserve">problem at this density, and it is the operational face of the formation paradox.</w:t>
      </w:r>
    </w:p>
    <w:bookmarkEnd w:id="114"/>
    <w:bookmarkStart w:id="115" w:name="comparison-with-terrestrial-data-centers"/>
    <w:p>
      <w:pPr>
        <w:pStyle w:val="Heading2"/>
      </w:pPr>
      <w:r>
        <w:t xml:space="preserve">29. Comparison with terrestrial data centers</w:t>
      </w:r>
    </w:p>
    <w:p>
      <w:pPr>
        <w:pStyle w:val="FirstParagraph"/>
      </w:pPr>
      <w:r>
        <w:t xml:space="preserve">It is instructive to place the orbital architecture beside a terrestrial hyperscale facility on the</w:t>
      </w:r>
      <w:r>
        <w:t xml:space="preserve"> </w:t>
      </w:r>
      <w:r>
        <w:t xml:space="preserve">metrics that matter (Table T13). Orbit wins decisively on cooling overhead and water, and it offers</w:t>
      </w:r>
      <w:r>
        <w:t xml:space="preserve"> </w:t>
      </w:r>
      <w:r>
        <w:t xml:space="preserve">a continuous solar resource and freedom from land and grid constraints. It loses decisively on</w:t>
      </w:r>
      <w:r>
        <w:t xml:space="preserve"> </w:t>
      </w:r>
      <w:r>
        <w:t xml:space="preserve">serviceability (no repair), on the cost and risk of launch, on radiation-induced throughput loss,</w:t>
      </w:r>
      <w:r>
        <w:t xml:space="preserve"> </w:t>
      </w:r>
      <w:r>
        <w:t xml:space="preserve">and on the debris and disposal obligations that have no terrestrial analogue. The reading is</w:t>
      </w:r>
      <w:r>
        <w:t xml:space="preserve"> </w:t>
      </w:r>
      <w:r>
        <w:t xml:space="preserve">that the two are not substitutes today: orbit is competitive only for workloads that genuinely value</w:t>
      </w:r>
      <w:r>
        <w:t xml:space="preserve"> </w:t>
      </w:r>
      <w:r>
        <w:t xml:space="preserve">what it uniquely provides, and only once launch economics enter the parity band of Chapter 22.</w:t>
      </w:r>
    </w:p>
    <w:p>
      <w:pPr>
        <w:pStyle w:val="BodyText"/>
      </w:pPr>
      <w:r>
        <w:rPr>
          <w:b/>
          <w:bCs/>
        </w:rPr>
        <w:t xml:space="preserve">Table T13, Orbital versus terrestrial data center (qualitative).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Terrestrial hyperscale</w:t>
            </w:r>
          </w:p>
        </w:tc>
        <w:tc>
          <w:tcPr/>
          <w:p>
            <w:pPr>
              <w:pStyle w:val="Compact"/>
            </w:pPr>
            <w:r>
              <w:t xml:space="preserve">Orbital (this study)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Cooling</w:t>
            </w:r>
          </w:p>
        </w:tc>
        <w:tc>
          <w:tcPr/>
          <w:p>
            <w:pPr>
              <w:pStyle w:val="Compact"/>
            </w:pPr>
            <w:r>
              <w:t xml:space="preserve">chillers/water, PUE ~1.1-1.6</w:t>
            </w:r>
          </w:p>
        </w:tc>
        <w:tc>
          <w:tcPr/>
          <w:p>
            <w:pPr>
              <w:pStyle w:val="Compact"/>
            </w:pPr>
            <w:r>
              <w:t xml:space="preserve">radiative to 2.7 K; no water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Water use</w:t>
            </w:r>
          </w:p>
        </w:tc>
        <w:tc>
          <w:tcPr/>
          <w:p>
            <w:pPr>
              <w:pStyle w:val="Compact"/>
            </w:pPr>
            <w:r>
              <w:t xml:space="preserve">millions of liters/yr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</w:t>
            </w:r>
          </w:p>
        </w:tc>
        <w:tc>
          <w:tcPr/>
          <w:p>
            <w:pPr>
              <w:pStyle w:val="Compact"/>
            </w:pPr>
            <w:r>
              <w:t xml:space="preserve">grid, intermittent renewables</w:t>
            </w:r>
          </w:p>
        </w:tc>
        <w:tc>
          <w:tcPr/>
          <w:p>
            <w:pPr>
              <w:pStyle w:val="Compact"/>
            </w:pPr>
            <w:r>
              <w:t xml:space="preserve">continuous solar (dawn-dusk)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Land</w:t>
            </w:r>
          </w:p>
        </w:tc>
        <w:tc>
          <w:tcPr/>
          <w:p>
            <w:pPr>
              <w:pStyle w:val="Compact"/>
            </w:pPr>
            <w:r>
              <w:t xml:space="preserve">large footprint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Serviceability</w:t>
            </w:r>
          </w:p>
        </w:tc>
        <w:tc>
          <w:tcPr/>
          <w:p>
            <w:pPr>
              <w:pStyle w:val="Compact"/>
            </w:pPr>
            <w:r>
              <w:t xml:space="preserve">hot-swap, on-site repair</w:t>
            </w:r>
          </w:p>
        </w:tc>
        <w:tc>
          <w:tcPr/>
          <w:p>
            <w:pPr>
              <w:pStyle w:val="Compact"/>
            </w:pPr>
            <w:r>
              <w:t xml:space="preserve">none (no repair)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Radiation</w:t>
            </w:r>
          </w:p>
        </w:tc>
        <w:tc>
          <w:tcPr/>
          <w:p>
            <w:pPr>
              <w:pStyle w:val="Compact"/>
            </w:pPr>
            <w:r>
              <w:t xml:space="preserve">negligible</w:t>
            </w:r>
          </w:p>
        </w:tc>
        <w:tc>
          <w:tcPr/>
          <w:p>
            <w:pPr>
              <w:pStyle w:val="Compact"/>
            </w:pPr>
            <w:r>
              <w:t xml:space="preserve">~10-20 % throughput 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Disposal</w:t>
            </w:r>
          </w:p>
        </w:tc>
        <w:tc>
          <w:tcPr/>
          <w:p>
            <w:pPr>
              <w:pStyle w:val="Compact"/>
            </w:pPr>
            <w:r>
              <w:t xml:space="preserve">decommission in place</w:t>
            </w:r>
          </w:p>
        </w:tc>
        <w:tc>
          <w:tcPr/>
          <w:p>
            <w:pPr>
              <w:pStyle w:val="Compact"/>
            </w:pPr>
            <w:r>
              <w:t xml:space="preserve">mandatory propulsive de-orbit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Debris risk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binding constraint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Launch / deployment</w:t>
            </w:r>
          </w:p>
        </w:tc>
        <w:tc>
          <w:tcPr/>
          <w:p>
            <w:pPr>
              <w:pStyle w:val="Compact"/>
            </w:pPr>
            <w:r>
              <w:t xml:space="preserve">trucking</w:t>
            </w:r>
          </w:p>
        </w:tc>
        <w:tc>
          <w:tcPr/>
          <w:p>
            <w:pPr>
              <w:pStyle w:val="Compact"/>
            </w:pPr>
            <w:r>
              <w:t xml:space="preserve">USD/kg launch, dominant early 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Latency (long-haul)</w:t>
            </w:r>
          </w:p>
        </w:tc>
        <w:tc>
          <w:tcPr/>
          <w:p>
            <w:pPr>
              <w:pStyle w:val="Compact"/>
            </w:pPr>
            <w:r>
              <w:t xml:space="preserve">fiber (n=1.47)</w:t>
            </w:r>
          </w:p>
        </w:tc>
        <w:tc>
          <w:tcPr/>
          <w:p>
            <w:pPr>
              <w:pStyle w:val="Compact"/>
            </w:pPr>
            <w:r>
              <w:t xml:space="preserve">vacuum mesh wins beyond ~3,000 km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5"/>
    <w:bookmarkEnd w:id="116"/>
    <w:bookmarkStart w:id="131" w:name="back-matter"/>
    <w:p>
      <w:pPr>
        <w:pStyle w:val="Heading1"/>
      </w:pPr>
      <w:r>
        <w:t xml:space="preserve">Back matter</w:t>
      </w:r>
    </w:p>
    <w:bookmarkStart w:id="11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Agüera y Arcas et al. (2025).</w:t>
      </w:r>
      <w:r>
        <w:t xml:space="preserve"> </w:t>
      </w:r>
      <w:r>
        <w:rPr>
          <w:i/>
          <w:iCs/>
        </w:rPr>
        <w:t xml:space="preserve">Towards a future space-based, highly scalable AI infrastructure</w:t>
      </w:r>
      <w:r>
        <w:rPr>
          <w:i/>
          <w:iCs/>
        </w:rPr>
        <w:t xml:space="preserve"> </w:t>
      </w:r>
      <w:r>
        <w:rPr>
          <w:i/>
          <w:iCs/>
        </w:rPr>
        <w:t xml:space="preserve">system design.</w:t>
      </w:r>
      <w:r>
        <w:t xml:space="preserve"> </w:t>
      </w:r>
      <w:r>
        <w:t xml:space="preserve">arXiv:2511.19468.</w:t>
      </w:r>
    </w:p>
    <w:p>
      <w:pPr>
        <w:pStyle w:val="Compact"/>
        <w:numPr>
          <w:ilvl w:val="0"/>
          <w:numId w:val="1001"/>
        </w:numPr>
      </w:pPr>
      <w:r>
        <w:t xml:space="preserve">Google.</w:t>
      </w:r>
      <w:r>
        <w:t xml:space="preserve"> </w:t>
      </w:r>
      <w:r>
        <w:rPr>
          <w:i/>
          <w:iCs/>
        </w:rPr>
        <w:t xml:space="preserve">Project Suncatcher.</w:t>
      </w:r>
      <w:r>
        <w:t xml:space="preserve"> </w:t>
      </w:r>
      <w:r>
        <w:t xml:space="preserve">blog.google/innovation-and-ai/technology/research/google-project-suncatcher/</w:t>
      </w:r>
    </w:p>
    <w:p>
      <w:pPr>
        <w:pStyle w:val="Compact"/>
        <w:numPr>
          <w:ilvl w:val="0"/>
          <w:numId w:val="1001"/>
        </w:numPr>
      </w:pPr>
      <w:r>
        <w:t xml:space="preserve">Planet Labs.</w:t>
      </w:r>
      <w:r>
        <w:t xml:space="preserve"> </w:t>
      </w:r>
      <w:r>
        <w:rPr>
          <w:i/>
          <w:iCs/>
        </w:rPr>
        <w:t xml:space="preserve">Platform for Project Suncatcher.</w:t>
      </w:r>
      <w:r>
        <w:t xml:space="preserve"> </w:t>
      </w:r>
      <w:r>
        <w:t xml:space="preserve">planet.com/pulse/</w:t>
      </w:r>
    </w:p>
    <w:p>
      <w:pPr>
        <w:pStyle w:val="Compact"/>
        <w:numPr>
          <w:ilvl w:val="0"/>
          <w:numId w:val="1001"/>
        </w:numPr>
      </w:pPr>
      <w:r>
        <w:t xml:space="preserve">NVIDIA.</w:t>
      </w:r>
      <w:r>
        <w:t xml:space="preserve"> </w:t>
      </w:r>
      <w:r>
        <w:rPr>
          <w:i/>
          <w:iCs/>
        </w:rPr>
        <w:t xml:space="preserve">Starcloud, H100 in orbit.</w:t>
      </w:r>
      <w:r>
        <w:t xml:space="preserve"> </w:t>
      </w:r>
      <w:r>
        <w:t xml:space="preserve">blogs.nvidia.com/blog/starcloud/</w:t>
      </w:r>
    </w:p>
    <w:p>
      <w:pPr>
        <w:pStyle w:val="Compact"/>
        <w:numPr>
          <w:ilvl w:val="0"/>
          <w:numId w:val="1001"/>
        </w:numPr>
      </w:pPr>
      <w:r>
        <w:t xml:space="preserve">Axiom Space.</w:t>
      </w:r>
      <w:r>
        <w:t xml:space="preserve"> </w:t>
      </w:r>
      <w:r>
        <w:rPr>
          <w:i/>
          <w:iCs/>
        </w:rPr>
        <w:t xml:space="preserve">Orbital Data Center nodes.</w:t>
      </w:r>
      <w:r>
        <w:t xml:space="preserve"> </w:t>
      </w:r>
      <w:r>
        <w:t xml:space="preserve">axiomspace.com</w:t>
      </w:r>
    </w:p>
    <w:p>
      <w:pPr>
        <w:pStyle w:val="Compact"/>
        <w:numPr>
          <w:ilvl w:val="0"/>
          <w:numId w:val="1001"/>
        </w:numPr>
      </w:pPr>
      <w:r>
        <w:t xml:space="preserve">Liang et al. (2022).</w:t>
      </w:r>
      <w:r>
        <w:t xml:space="preserve"> </w:t>
      </w:r>
      <w:r>
        <w:rPr>
          <w:i/>
          <w:iCs/>
        </w:rPr>
        <w:t xml:space="preserve">Link Budget Analysis for Free-Space Optical Satellite Networks.</w:t>
      </w:r>
      <w:r>
        <w:t xml:space="preserve"> </w:t>
      </w:r>
      <w:r>
        <w:t xml:space="preserve">arXiv:2204.13177.</w:t>
      </w:r>
    </w:p>
    <w:p>
      <w:pPr>
        <w:pStyle w:val="Compact"/>
        <w:numPr>
          <w:ilvl w:val="0"/>
          <w:numId w:val="1001"/>
        </w:numPr>
      </w:pPr>
      <w:r>
        <w:t xml:space="preserve">FCC.</w:t>
      </w:r>
      <w:r>
        <w:t xml:space="preserve"> </w:t>
      </w:r>
      <w:r>
        <w:rPr>
          <w:i/>
          <w:iCs/>
        </w:rPr>
        <w:t xml:space="preserve">Five-Year Rule (FCC 22-74).</w:t>
      </w:r>
      <w:r>
        <w:t xml:space="preserve"> </w:t>
      </w:r>
      <w:r>
        <w:t xml:space="preserve">fcc.gov ; Federal Register 2024-17093.</w:t>
      </w:r>
    </w:p>
    <w:p>
      <w:pPr>
        <w:pStyle w:val="Compact"/>
        <w:numPr>
          <w:ilvl w:val="0"/>
          <w:numId w:val="1001"/>
        </w:numPr>
      </w:pPr>
      <w:r>
        <w:t xml:space="preserve">NASA.</w:t>
      </w:r>
      <w:r>
        <w:t xml:space="preserve"> </w:t>
      </w:r>
      <w:r>
        <w:rPr>
          <w:i/>
          <w:iCs/>
        </w:rPr>
        <w:t xml:space="preserve">ORDEM 3.2 User Guide.</w:t>
      </w:r>
      <w:r>
        <w:t xml:space="preserve"> </w:t>
      </w:r>
      <w:r>
        <w:t xml:space="preserve">NTRS 20230014989.</w:t>
      </w:r>
    </w:p>
    <w:p>
      <w:pPr>
        <w:pStyle w:val="Compact"/>
        <w:numPr>
          <w:ilvl w:val="0"/>
          <w:numId w:val="1001"/>
        </w:numPr>
      </w:pPr>
      <w:r>
        <w:t xml:space="preserve">ESA.</w:t>
      </w:r>
      <w:r>
        <w:t xml:space="preserve"> </w:t>
      </w:r>
      <w:r>
        <w:rPr>
          <w:i/>
          <w:iCs/>
        </w:rPr>
        <w:t xml:space="preserve">MASTER / DRAMA debris tools.</w:t>
      </w:r>
      <w:r>
        <w:t xml:space="preserve"> </w:t>
      </w:r>
      <w:r>
        <w:t xml:space="preserve">esa.int/Space_Safety/Space_Debris/</w:t>
      </w:r>
    </w:p>
    <w:p>
      <w:pPr>
        <w:pStyle w:val="Compact"/>
        <w:numPr>
          <w:ilvl w:val="0"/>
          <w:numId w:val="1001"/>
        </w:numPr>
      </w:pPr>
      <w:r>
        <w:t xml:space="preserve">SPENVIS.</w:t>
      </w:r>
      <w:r>
        <w:t xml:space="preserve"> </w:t>
      </w:r>
      <w:r>
        <w:rPr>
          <w:i/>
          <w:iCs/>
        </w:rPr>
        <w:t xml:space="preserve">SHIELDOSE.</w:t>
      </w:r>
      <w:r>
        <w:t xml:space="preserve"> </w:t>
      </w:r>
      <w:r>
        <w:t xml:space="preserve">spenvis.oma.be</w:t>
      </w:r>
    </w:p>
    <w:p>
      <w:pPr>
        <w:pStyle w:val="Compact"/>
        <w:numPr>
          <w:ilvl w:val="0"/>
          <w:numId w:val="1001"/>
        </w:numPr>
      </w:pPr>
      <w:r>
        <w:t xml:space="preserve">Picone et al. (2002).</w:t>
      </w:r>
      <w:r>
        <w:t xml:space="preserve"> </w:t>
      </w:r>
      <w:r>
        <w:rPr>
          <w:i/>
          <w:iCs/>
        </w:rPr>
        <w:t xml:space="preserve">NRLMSISE-00 empirical atmosphere model.</w:t>
      </w:r>
      <w:r>
        <w:t xml:space="preserve"> </w:t>
      </w:r>
      <w:r>
        <w:t xml:space="preserve">JGR, doi:10.1029/2002JA009430.</w:t>
      </w:r>
    </w:p>
    <w:p>
      <w:pPr>
        <w:pStyle w:val="Compact"/>
        <w:numPr>
          <w:ilvl w:val="0"/>
          <w:numId w:val="1001"/>
        </w:numPr>
      </w:pPr>
      <w:r>
        <w:t xml:space="preserve">NVIDIA H100 / B200 / GB200 datasheets; Google Cloud TPU v6e documentation; Azur/Spectrolab</w:t>
      </w:r>
      <w:r>
        <w:t xml:space="preserve"> </w:t>
      </w:r>
      <w:r>
        <w:t xml:space="preserve">solar-cell datasheets; NASA ISS Active Thermal Control System overview.</w:t>
      </w:r>
    </w:p>
    <w:p>
      <w:pPr>
        <w:pStyle w:val="Compact"/>
        <w:numPr>
          <w:ilvl w:val="0"/>
          <w:numId w:val="1001"/>
        </w:numPr>
      </w:pPr>
      <w:r>
        <w:t xml:space="preserve">NASA Systems Engineering Handbook, NASA/SP-2016-6105.</w:t>
      </w:r>
    </w:p>
    <w:p>
      <w:pPr>
        <w:pStyle w:val="Compact"/>
        <w:numPr>
          <w:ilvl w:val="0"/>
          <w:numId w:val="1001"/>
        </w:numPr>
      </w:pPr>
      <w:r>
        <w:t xml:space="preserve">AIAA S-120-2006, Mass Properties Control for Space Systems.</w:t>
      </w:r>
    </w:p>
    <w:p>
      <w:pPr>
        <w:pStyle w:val="Compact"/>
        <w:numPr>
          <w:ilvl w:val="0"/>
          <w:numId w:val="1001"/>
        </w:numPr>
      </w:pPr>
      <w:r>
        <w:t xml:space="preserve">NASA Goddard Integrated Design Center, concurrent-design margin practice (NTRS 20120013284).</w:t>
      </w:r>
    </w:p>
    <w:bookmarkEnd w:id="117"/>
    <w:bookmarkStart w:id="118" w:name="Xa5f5759fad9159c193908c5014e5f5066c880b0"/>
    <w:p>
      <w:pPr>
        <w:pStyle w:val="Heading2"/>
      </w:pPr>
      <w:r>
        <w:t xml:space="preserve">Appendix A, Master list of governing equations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Equation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4.1</w:t>
            </w:r>
          </w:p>
        </w:tc>
        <w:tc>
          <w:tcPr/>
          <w:p>
            <w:pPr>
              <w:pStyle w:val="Compact"/>
            </w:pPr>
            <w:r>
              <w:t xml:space="preserve">Circular speed</w:t>
            </w:r>
          </w:p>
        </w:tc>
        <w:tc>
          <w:tcPr/>
          <w:p>
            <w:pPr>
              <w:pStyle w:val="Compact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μ</m:t>
                  </m:r>
                  <m:r>
                    <m:rPr>
                      <m:sty m:val="p"/>
                    </m:rPr>
                    <m:t>/</m:t>
                  </m:r>
                  <m:r>
                    <m:t>a</m:t>
                  </m:r>
                </m:e>
              </m:rad>
            </m:oMath>
          </w:p>
        </w:tc>
      </w:tr>
      <w:tr>
        <w:tc>
          <w:tcPr/>
          <w:p>
            <w:pPr>
              <w:pStyle w:val="Compact"/>
            </w:pPr>
            <w:r>
              <w:t xml:space="preserve">4.2</w:t>
            </w:r>
          </w:p>
        </w:tc>
        <w:tc>
          <w:tcPr/>
          <w:p>
            <w:pPr>
              <w:pStyle w:val="Compact"/>
            </w:pPr>
            <w:r>
              <w:t xml:space="preserve">Period / mean motion</w:t>
            </w:r>
          </w:p>
        </w:tc>
        <w:tc>
          <w:tcPr/>
          <w:p>
            <w:pPr>
              <w:pStyle w:val="Compact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e>
              </m:rad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μ</m:t>
                  </m:r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rad>
            </m:oMath>
          </w:p>
        </w:tc>
      </w:tr>
      <w:tr>
        <w:tc>
          <w:tcPr/>
          <w:p>
            <w:pPr>
              <w:pStyle w:val="Compact"/>
            </w:pPr>
            <w:r>
              <w:t xml:space="preserve">4.3</w:t>
            </w:r>
          </w:p>
        </w:tc>
        <w:tc>
          <w:tcPr/>
          <w:p>
            <w:pPr>
              <w:pStyle w:val="Compact"/>
            </w:pPr>
            <w:r>
              <w:t xml:space="preserve">Specific energy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t>a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5.2</w:t>
            </w:r>
          </w:p>
        </w:tc>
        <w:tc>
          <w:tcPr/>
          <w:p>
            <w:pPr>
              <w:pStyle w:val="Compact"/>
            </w:pPr>
            <w:r>
              <w:t xml:space="preserve">SSO inclination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cos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̇"/>
                    </m:accPr>
                    <m:e>
                      <m:r>
                        <m:rPr>
                          <m:sty m:val="p"/>
                        </m:rPr>
                        <m:t>Ω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n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n</m:t>
              </m:r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R</m:t>
                  </m:r>
                </m:e>
                <m:sub>
                  <m:r>
                    <m:t>E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</w:t>
            </w:r>
          </w:p>
        </w:tc>
        <w:tc>
          <w:tcPr/>
          <w:p>
            <w:pPr>
              <w:pStyle w:val="Compact"/>
            </w:pPr>
            <w:r>
              <w:t xml:space="preserve">Critical beta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arcsin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7.3</w:t>
            </w:r>
          </w:p>
        </w:tc>
        <w:tc>
          <w:tcPr/>
          <w:p>
            <w:pPr>
              <w:pStyle w:val="Compact"/>
            </w:pPr>
            <w:r>
              <w:t xml:space="preserve">Orbital decay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̇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ρ</m:t>
              </m:r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μ</m:t>
                  </m:r>
                  <m:r>
                    <m:t>a</m:t>
                  </m:r>
                </m:e>
              </m:rad>
            </m:oMath>
          </w:p>
        </w:tc>
      </w:tr>
      <w:tr>
        <w:tc>
          <w:tcPr/>
          <w:p>
            <w:pPr>
              <w:pStyle w:val="Compact"/>
            </w:pPr>
            <w:r>
              <w:t xml:space="preserve">8.1</w:t>
            </w:r>
          </w:p>
        </w:tc>
        <w:tc>
          <w:tcPr/>
          <w:p>
            <w:pPr>
              <w:pStyle w:val="Compact"/>
            </w:pPr>
            <w:r>
              <w:t xml:space="preserve">Dose-depth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̇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9.1</w:t>
            </w:r>
          </w:p>
        </w:tc>
        <w:tc>
          <w:tcPr/>
          <w:p>
            <w:pPr>
              <w:pStyle w:val="Compact"/>
            </w:pPr>
            <w:r>
              <w:t xml:space="preserve">Debris risk</w:t>
            </w:r>
          </w:p>
        </w:tc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Φ</m:t>
                  </m:r>
                  <m:r>
                    <m:t>A</m:t>
                  </m:r>
                  <m:r>
                    <m:t>N</m:t>
                  </m:r>
                  <m:r>
                    <m:t>t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w:r>
              <w:t xml:space="preserve">10.2</w:t>
            </w:r>
          </w:p>
        </w:tc>
        <w:tc>
          <w:tcPr/>
          <w:p>
            <w:pPr>
              <w:pStyle w:val="Compact"/>
            </w:pPr>
            <w:r>
              <w:t xml:space="preserve">Stefan-Boltzmann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σ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w:r>
              <w:t xml:space="preserve">10.3</w:t>
            </w:r>
          </w:p>
        </w:tc>
        <w:tc>
          <w:tcPr/>
          <w:p>
            <w:pPr>
              <w:pStyle w:val="Compact"/>
            </w:pPr>
            <w:r>
              <w:t xml:space="preserve">Radiator area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t>ε</m:t>
              </m:r>
              <m:r>
                <m:t>σ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11.1</w:t>
            </w:r>
          </w:p>
        </w:tc>
        <w:tc>
          <w:tcPr/>
          <w:p>
            <w:pPr>
              <w:pStyle w:val="Compact"/>
            </w:pPr>
            <w:r>
              <w:t xml:space="preserve">Array power</w:t>
            </w:r>
          </w:p>
        </w:tc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t>A</m:t>
              </m:r>
              <m:r>
                <m:t> </m:t>
              </m:r>
              <m:r>
                <m:t>η</m:t>
              </m:r>
              <m:r>
                <m:t> </m:t>
              </m:r>
              <m:r>
                <m:t>κ</m:t>
              </m:r>
              <m:r>
                <m:t> </m:t>
              </m:r>
              <m:sSub>
                <m:e>
                  <m:r>
                    <m:t>η</m:t>
                  </m:r>
                </m:e>
                <m:sub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h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12.1</w:t>
            </w:r>
          </w:p>
        </w:tc>
        <w:tc>
          <w:tcPr/>
          <w:p>
            <w:pPr>
              <w:pStyle w:val="Compact"/>
            </w:pPr>
            <w:r>
              <w:t xml:space="preserve">Panel frequency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ad>
                <m:radPr>
                  <m:degHide m:val="on"/>
                </m:radPr>
                <m:deg/>
                <m:e>
                  <m:r>
                    <m:t>D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ρ</m:t>
                      </m:r>
                    </m:e>
                    <m:sub>
                      <m:r>
                        <m:t>A</m:t>
                      </m:r>
                    </m:sub>
                  </m:sSub>
                  <m:sSup>
                    <m:e>
                      <m:r>
                        <m:t>a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rad>
            </m:oMath>
          </w:p>
        </w:tc>
      </w:tr>
      <w:tr>
        <w:tc>
          <w:tcPr/>
          <w:p>
            <w:pPr>
              <w:pStyle w:val="Compact"/>
            </w:pPr>
            <w:r>
              <w:t xml:space="preserve">13.1</w:t>
            </w:r>
          </w:p>
        </w:tc>
        <w:tc>
          <w:tcPr/>
          <w:p>
            <w:pPr>
              <w:pStyle w:val="Compact"/>
            </w:pPr>
            <w:r>
              <w:t xml:space="preserve">Gravity-gradient torque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τ</m:t>
                  </m:r>
                </m:e>
                <m:sub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Δ</m:t>
              </m:r>
              <m:r>
                <m:t>I</m:t>
              </m:r>
              <m:r>
                <m:t> </m:t>
              </m:r>
              <m:r>
                <m:rPr>
                  <m:sty m:val="p"/>
                </m:rPr>
                <m:t>sin</m:t>
              </m:r>
              <m:r>
                <m:t>2</m:t>
              </m:r>
              <m:r>
                <m:t>θ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14.1</w:t>
            </w:r>
          </w:p>
        </w:tc>
        <w:tc>
          <w:tcPr/>
          <w:p>
            <w:pPr>
              <w:pStyle w:val="Compact"/>
            </w:pPr>
            <w:r>
              <w:t xml:space="preserve">Telescope gain / FSPL</w:t>
            </w:r>
          </w:p>
        </w:tc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t>D</m:t>
              </m:r>
              <m:r>
                <m:rPr>
                  <m:sty m:val="p"/>
                </m:rPr>
                <m:t>/</m:t>
              </m:r>
              <m:r>
                <m:t>λ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π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λ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w:r>
              <w:t xml:space="preserve">15.1</w:t>
            </w:r>
          </w:p>
        </w:tc>
        <w:tc>
          <w:tcPr/>
          <w:p>
            <w:pPr>
              <w:pStyle w:val="Compact"/>
            </w:pPr>
            <w:r>
              <w:t xml:space="preserve">De-orbit Δv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v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15.2</w:t>
            </w:r>
          </w:p>
        </w:tc>
        <w:tc>
          <w:tcPr/>
          <w:p>
            <w:pPr>
              <w:pStyle w:val="Compact"/>
            </w:pPr>
            <w:r>
              <w:t xml:space="preserve">Propellant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Δ</m:t>
                  </m:r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s</m:t>
                      </m:r>
                      <m:r>
                        <m:t>p</m:t>
                      </m:r>
                    </m:sub>
                  </m:sSub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16.1</w:t>
            </w:r>
          </w:p>
        </w:tc>
        <w:tc>
          <w:tcPr/>
          <w:p>
            <w:pPr>
              <w:pStyle w:val="Compact"/>
            </w:pPr>
            <w:r>
              <w:t xml:space="preserve">Reliability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F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w:r>
              <w:t xml:space="preserve">16.2</w:t>
            </w:r>
          </w:p>
        </w:tc>
        <w:tc>
          <w:tcPr/>
          <w:p>
            <w:pPr>
              <w:pStyle w:val="Compact"/>
            </w:pPr>
            <w:r>
              <w:t xml:space="preserve">k-of-n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i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p</m:t>
                  </m:r>
                </m:e>
                <m:sup>
                  <m:r>
                    <m:t>i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w:r>
              <w:t xml:space="preserve">17.1</w:t>
            </w:r>
          </w:p>
        </w:tc>
        <w:tc>
          <w:tcPr/>
          <w:p>
            <w:pPr>
              <w:pStyle w:val="Compact"/>
            </w:pPr>
            <w:r>
              <w:t xml:space="preserve">Delivered compute</w:t>
            </w:r>
          </w:p>
        </w:tc>
        <w:tc>
          <w:tcPr/>
          <w:p>
            <w:pPr>
              <w:pStyle w:val="Compact"/>
            </w:pPr>
            <m:oMath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U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r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21.1</w:t>
            </w:r>
          </w:p>
        </w:tc>
        <w:tc>
          <w:tcPr/>
          <w:p>
            <w:pPr>
              <w:pStyle w:val="Compact"/>
            </w:pPr>
            <w:r>
              <w:t xml:space="preserve">LCOE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useful PFLOP-hr</m:t>
              </m:r>
            </m:oMath>
          </w:p>
        </w:tc>
      </w:tr>
    </w:tbl>
    <w:bookmarkEnd w:id="118"/>
    <w:bookmarkStart w:id="119" w:name="appendix-b-nomenclature"/>
    <w:p>
      <w:pPr>
        <w:pStyle w:val="Heading2"/>
      </w:pPr>
      <w:r>
        <w:t xml:space="preserve">Appendix B, Nomenclature</w:t>
      </w:r>
    </w:p>
    <w:p>
      <w:pPr>
        <w:pStyle w:val="FirstParagraph"/>
      </w:pPr>
      <w:r>
        <w:t xml:space="preserve">See the Nomenclature table in the front matter; every symbol used in the equations above is defined</w:t>
      </w:r>
      <w:r>
        <w:t xml:space="preserve"> </w:t>
      </w:r>
      <w:r>
        <w:t xml:space="preserve">there with its units.</w:t>
      </w:r>
    </w:p>
    <w:bookmarkEnd w:id="119"/>
    <w:bookmarkStart w:id="120" w:name="appendix-c-data-sources-and-confidence"/>
    <w:p>
      <w:pPr>
        <w:pStyle w:val="Heading2"/>
      </w:pPr>
      <w:r>
        <w:t xml:space="preserve">Appendix C, Data sources and confidence</w:t>
      </w:r>
    </w:p>
    <w:p>
      <w:pPr>
        <w:pStyle w:val="FirstParagraph"/>
      </w:pPr>
      <w:r>
        <w:t xml:space="preserve">Every model input is tabulated with its value, source, and a confidence flag (official / model /</w:t>
      </w:r>
      <w:r>
        <w:t xml:space="preserve"> </w:t>
      </w:r>
      <w:r>
        <w:t xml:space="preserve">estimate) in the companion repository’s</w:t>
      </w:r>
      <w:r>
        <w:t xml:space="preserve"> </w:t>
      </w:r>
      <w:r>
        <w:rPr>
          <w:rStyle w:val="VerbatimChar"/>
        </w:rPr>
        <w:t xml:space="preserve">systems-model/docs/SOURCES.md</w:t>
      </w:r>
      <w:r>
        <w:t xml:space="preserve">. The dominant caveats are</w:t>
      </w:r>
      <w:r>
        <w:t xml:space="preserve"> </w:t>
      </w:r>
      <w:r>
        <w:t xml:space="preserve">repeated here: the chip power is undisclosed and treated as an estimate; the solar-cycle density</w:t>
      </w:r>
      <w:r>
        <w:t xml:space="preserve"> </w:t>
      </w:r>
      <w:r>
        <w:t xml:space="preserve">swing of roughly one hundred is the largest physical uncertainty and is shown as a band; and the</w:t>
      </w:r>
      <w:r>
        <w:t xml:space="preserve"> </w:t>
      </w:r>
      <w:r>
        <w:t xml:space="preserve">1-mm-to-1-cm debris flux is the least model-validated quantity.</w:t>
      </w:r>
    </w:p>
    <w:bookmarkEnd w:id="120"/>
    <w:bookmarkStart w:id="121" w:name="appendix-d-reproduction-and-code"/>
    <w:p>
      <w:pPr>
        <w:pStyle w:val="Heading2"/>
      </w:pPr>
      <w:r>
        <w:t xml:space="preserve">Appendix D, Reproduction and code</w:t>
      </w:r>
    </w:p>
    <w:p>
      <w:pPr>
        <w:pStyle w:val="FirstParagraph"/>
      </w:pPr>
      <w:r>
        <w:t xml:space="preserve">The entire analysis is open. From the repository,</w:t>
      </w:r>
    </w:p>
    <w:p>
      <w:pPr>
        <w:pStyle w:val="SourceCode"/>
      </w:pPr>
      <w:r>
        <w:rPr>
          <w:rStyle w:val="VerbatimChar"/>
        </w:rPr>
        <w:t xml:space="preserve">git clone https://github.com/Samarjithbiswas/space-based-ai-datacenter</w:t>
      </w:r>
      <w:r>
        <w:br/>
      </w:r>
      <w:r>
        <w:rPr>
          <w:rStyle w:val="VerbatimChar"/>
        </w:rPr>
        <w:t xml:space="preserve">cd space-based-ai-datacenter &amp;&amp; pip install numpy matplotlib pytest</w:t>
      </w:r>
      <w:r>
        <w:br/>
      </w:r>
      <w:r>
        <w:rPr>
          <w:rStyle w:val="VerbatimChar"/>
        </w:rPr>
        <w:t xml:space="preserve">python reproduce_all.py        # both models, all figures, equation images</w:t>
      </w:r>
      <w:r>
        <w:br/>
      </w:r>
      <w:r>
        <w:rPr>
          <w:rStyle w:val="VerbatimChar"/>
        </w:rPr>
        <w:t xml:space="preserve">python report/predictions.py   # the launch-cost-parity Monte-Carlo</w:t>
      </w:r>
    </w:p>
    <w:p>
      <w:pPr>
        <w:pStyle w:val="FirstParagraph"/>
      </w:pPr>
      <w:r>
        <w:t xml:space="preserve">The systems model comprises seventeen subsystem modules plus an integration layer and a Monte-Carlo</w:t>
      </w:r>
      <w:r>
        <w:t xml:space="preserve"> </w:t>
      </w:r>
      <w:r>
        <w:t xml:space="preserve">engine, validated by 108 automated tests. Each module’s docstring states its governing equation; the</w:t>
      </w:r>
      <w:r>
        <w:t xml:space="preserve"> </w:t>
      </w:r>
      <w:r>
        <w:t xml:space="preserve">mathematical derivations in this volume are the authoritative reference. Independent reproduction,</w:t>
      </w:r>
      <w:r>
        <w:t xml:space="preserve"> </w:t>
      </w:r>
      <w:r>
        <w:t xml:space="preserve">extension, and correction are welcome through the repository’s issues and pull requests.</w:t>
      </w:r>
    </w:p>
    <w:p>
      <w:pPr>
        <w:pStyle w:val="BodyText"/>
      </w:pPr>
      <w:r>
        <w:t xml:space="preserve">For completeness, the core physics functions are listed below; each is a direct, pure implementation</w:t>
      </w:r>
      <w:r>
        <w:t xml:space="preserve"> </w:t>
      </w:r>
      <w:r>
        <w:t xml:space="preserve">of the corresponding equation in this volume.</w:t>
      </w:r>
    </w:p>
    <w:p>
      <w:pPr>
        <w:pStyle w:val="BodyText"/>
      </w:pPr>
      <w:r>
        <w:rPr>
          <w:b/>
          <w:bCs/>
        </w:rPr>
        <w:t xml:space="preserve">Orbital decay, Eq. (7.3).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lifetime_years(alt_km, area_to_mass, scenario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"mod"</w:t>
      </w:r>
      <w:r>
        <w:rPr>
          <w:rStyle w:val="NormalTok"/>
        </w:rPr>
        <w:t xml:space="preserve">, cd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a, t, yr, dt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R_E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alt_km</w:t>
      </w:r>
      <w:r>
        <w:rPr>
          <w:rStyle w:val="OperatorTok"/>
        </w:rPr>
        <w:t xml:space="preserve">*</w:t>
      </w:r>
      <w:r>
        <w:rPr>
          <w:rStyle w:val="FloatTok"/>
        </w:rPr>
        <w:t xml:space="preserve">1e3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3.15576e7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3600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R_E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120e3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yr: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R_E)</w:t>
      </w:r>
      <w:r>
        <w:rPr>
          <w:rStyle w:val="OperatorTok"/>
        </w:rPr>
        <w:t xml:space="preserve">/</w:t>
      </w:r>
      <w:r>
        <w:rPr>
          <w:rStyle w:val="FloatTok"/>
        </w:rPr>
        <w:t xml:space="preserve">1e3</w:t>
      </w:r>
      <w:r>
        <w:br/>
      </w:r>
      <w:r>
        <w:rPr>
          <w:rStyle w:val="NormalTok"/>
        </w:rPr>
        <w:t xml:space="preserve">        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cd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area_to_mass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density(h, scenario)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np.sqrt(MU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a)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dt</w:t>
      </w:r>
      <w:r>
        <w:br/>
      </w:r>
      <w:r>
        <w:rPr>
          <w:rStyle w:val="NormalTok"/>
        </w:rPr>
        <w:t xml:space="preserve">        dt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3600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48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R_E)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500e3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3600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R_E)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300e3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3600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yr</w:t>
      </w:r>
    </w:p>
    <w:p>
      <w:pPr>
        <w:pStyle w:val="FirstParagraph"/>
      </w:pPr>
      <w:r>
        <w:rPr>
          <w:b/>
          <w:bCs/>
        </w:rPr>
        <w:t xml:space="preserve">Radiator sizing, Eq. (10.3).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radiator_area(heat_W, temp_C, emissivity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, sides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parasitic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temp_C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273.15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heat_W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(emissivity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SIGMA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sides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parasitic))</w:t>
      </w:r>
    </w:p>
    <w:p>
      <w:pPr>
        <w:pStyle w:val="FirstParagraph"/>
      </w:pPr>
      <w:r>
        <w:rPr>
          <w:b/>
          <w:bCs/>
        </w:rPr>
        <w:t xml:space="preserve">Debris collision probability, Eq. (9.1).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collision_probability(cross_section_m2, n_sats, years, size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"1cm"</w:t>
      </w:r>
      <w:r>
        <w:rPr>
          <w:rStyle w:val="NormalTok"/>
        </w:rPr>
        <w:t xml:space="preserve">, band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"mid"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flux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debris_flux(size, band)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flux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cross_section_m2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n_sats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years)</w:t>
      </w:r>
    </w:p>
    <w:p>
      <w:pPr>
        <w:pStyle w:val="FirstParagraph"/>
      </w:pPr>
      <w:r>
        <w:rPr>
          <w:b/>
          <w:bCs/>
        </w:rPr>
        <w:t xml:space="preserve">Controlled de-orbit Δv, Eq. (15.1).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deorbit_delta_v(alt_km, perigee_km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180.0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r1, 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R_E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alt_km</w:t>
      </w:r>
      <w:r>
        <w:rPr>
          <w:rStyle w:val="OperatorTok"/>
        </w:rPr>
        <w:t xml:space="preserve">*</w:t>
      </w:r>
      <w:r>
        <w:rPr>
          <w:rStyle w:val="FloatTok"/>
        </w:rPr>
        <w:t xml:space="preserve">1e3</w:t>
      </w:r>
      <w:r>
        <w:rPr>
          <w:rStyle w:val="NormalTok"/>
        </w:rPr>
        <w:t xml:space="preserve">, R_E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perigee_km</w:t>
      </w:r>
      <w:r>
        <w:rPr>
          <w:rStyle w:val="OperatorTok"/>
        </w:rPr>
        <w:t xml:space="preserve">*</w:t>
      </w:r>
      <w:r>
        <w:rPr>
          <w:rStyle w:val="FloatTok"/>
        </w:rPr>
        <w:t xml:space="preserve">1e3</w:t>
      </w:r>
      <w:r>
        <w:br/>
      </w:r>
      <w:r>
        <w:rPr>
          <w:rStyle w:val="NormalTok"/>
        </w:rPr>
        <w:t xml:space="preserve">    v1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np.sqrt(MU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r1)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v1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r2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(r1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r2)))</w:t>
      </w:r>
    </w:p>
    <w:p>
      <w:pPr>
        <w:pStyle w:val="FirstParagraph"/>
      </w:pPr>
      <w:r>
        <w:rPr>
          <w:b/>
          <w:bCs/>
        </w:rPr>
        <w:t xml:space="preserve">Coupled thermal-throttle workload (excerpt), Chapter 17.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throttle_factor(T_j, T_throttle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110.0</w:t>
      </w:r>
      <w:r>
        <w:rPr>
          <w:rStyle w:val="NormalTok"/>
        </w:rPr>
        <w:t xml:space="preserve">, T_max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125.0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(np.clip((T_max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T_j)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(T_max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T_throttle),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 the time loop: T_j = T_rad_C + P_full*r_th; u_eff = u_cmd * throttle_factor(T_j)</w:t>
      </w:r>
      <w:r>
        <w:br/>
      </w:r>
      <w:r>
        <w:rPr>
          <w:rStyle w:val="CommentTok"/>
        </w:rPr>
        <w:t xml:space="preserve"># C dT/dt = Q_in - eps*sigma*A_eff*T^4   (forward Euler over one orbit)</w:t>
      </w:r>
    </w:p>
    <w:p>
      <w:pPr>
        <w:pStyle w:val="FirstParagraph"/>
      </w:pPr>
      <w:r>
        <w:rPr>
          <w:b/>
          <w:bCs/>
        </w:rPr>
        <w:t xml:space="preserve">Levelized cost of compute, Eq. (21.1).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lcoe_per_pflop_hr(capex, opex_yr, delivered_pflops, 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life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util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rate)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life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rate)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life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(crf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capex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opex_yr)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(delivered_pflops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8766.0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util)</w:t>
      </w:r>
    </w:p>
    <w:bookmarkEnd w:id="121"/>
    <w:bookmarkStart w:id="130" w:name="appendix-e-extended-derivations"/>
    <w:p>
      <w:pPr>
        <w:pStyle w:val="Heading2"/>
      </w:pPr>
      <w:r>
        <w:t xml:space="preserve">Appendix E, Extended derivations</w:t>
      </w:r>
    </w:p>
    <w:p>
      <w:pPr>
        <w:pStyle w:val="FirstParagraph"/>
      </w:pPr>
      <w:r>
        <w:t xml:space="preserve">This appendix gives the full step-by-step derivations of the results quoted in compressed form in</w:t>
      </w:r>
      <w:r>
        <w:t xml:space="preserve"> </w:t>
      </w:r>
      <w:r>
        <w:t xml:space="preserve">the main text, so that the volume is mathematically self-contained.</w:t>
      </w:r>
    </w:p>
    <w:bookmarkStart w:id="122" w:name="X2a80dffde1cc8eefa78dcdbda3d88a45fd72945"/>
    <w:p>
      <w:pPr>
        <w:pStyle w:val="Heading3"/>
      </w:pPr>
      <w:r>
        <w:t xml:space="preserve">E.1 Stefan-Boltzmann law from Planck’s law</w:t>
      </w:r>
    </w:p>
    <w:p>
      <w:pPr>
        <w:pStyle w:val="FirstParagraph"/>
      </w:pPr>
      <w:r>
        <w:t xml:space="preserve">Starting from the spectral radiance (10.1), the hemispherical emissive power is the integral of the</w:t>
      </w:r>
      <w:r>
        <w:t xml:space="preserve"> </w:t>
      </w:r>
      <w:r>
        <w:t xml:space="preserve">radiance over the emitting hemisphere and all wavelengths. The angular integral over the hemisphere,</w:t>
      </w:r>
      <w:r>
        <w:t xml:space="preserve"> </w:t>
      </w:r>
      <w:r>
        <w:t xml:space="preserve">weighted by the projection factor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t>θ</m:t>
          </m:r>
          <m:r>
            <m:t> </m:t>
          </m:r>
          <m:r>
            <m:t>d</m:t>
          </m:r>
          <m:r>
            <m:rPr>
              <m:sty m:val="p"/>
            </m:rPr>
            <m:t>Ω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  <m:r>
                <m:t>π</m:t>
              </m:r>
            </m:sup>
            <m:e>
              <m:r>
                <m:t>​</m:t>
              </m:r>
            </m:e>
          </m:nary>
          <m:r>
            <m:t>​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t>θ</m:t>
          </m:r>
          <m:r>
            <m:t> </m:t>
          </m:r>
          <m:r>
            <m:rPr>
              <m:sty m:val="p"/>
            </m:rPr>
            <m:t>sin</m:t>
          </m:r>
          <m:r>
            <m:t>θ</m:t>
          </m:r>
          <m:r>
            <m:t> </m:t>
          </m:r>
          <m:r>
            <m:t>d</m:t>
          </m:r>
          <m:r>
            <m:t>θ</m:t>
          </m:r>
          <m:r>
            <m:t> </m:t>
          </m:r>
          <m:r>
            <m:t>d</m:t>
          </m:r>
          <m:r>
            <m:t>ϕ</m:t>
          </m:r>
          <m:r>
            <m:rPr>
              <m:sty m:val="p"/>
            </m:rPr>
            <m:t>=</m:t>
          </m:r>
          <m:r>
            <m:t>2</m:t>
          </m:r>
          <m:r>
            <m:t>π</m:t>
          </m:r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Hence</w:t>
      </w:r>
      <w:r>
        <w:t xml:space="preserve"> </w:t>
      </w:r>
      <m:oMath>
        <m:sSub>
          <m:e>
            <m:r>
              <m:t>E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B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λ</m:t>
        </m:r>
      </m:oMath>
      <w:r>
        <w:t xml:space="preserve">. Substituting Planck’s law and changing</w:t>
      </w:r>
      <w:r>
        <w:t xml:space="preserve"> </w:t>
      </w:r>
      <w:r>
        <w:t xml:space="preserve">variables to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P</m:t>
            </m:r>
          </m:sub>
        </m:sSub>
        <m:r>
          <m:t>c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λ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)</m:t>
        </m:r>
      </m:oMath>
      <w:r>
        <w:t xml:space="preserve">, so that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P</m:t>
            </m:r>
          </m:sub>
        </m:sSub>
        <m:r>
          <m:t>c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u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P</m:t>
            </m:r>
          </m:sub>
        </m:sSub>
        <m:r>
          <m:t>c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, the wavelength integral becomes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π</m:t>
              </m:r>
              <m:sSubSup>
                <m:e>
                  <m:r>
                    <m:t>k</m:t>
                  </m:r>
                </m:e>
                <m:sub>
                  <m:r>
                    <m:t>B</m:t>
                  </m:r>
                </m:sub>
                <m:sup>
                  <m:r>
                    <m:t>4</m:t>
                  </m:r>
                </m:sup>
              </m:sSubSup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num>
            <m:den>
              <m:sSubSup>
                <m:e>
                  <m:r>
                    <m:t>h</m:t>
                  </m:r>
                </m:e>
                <m:sub>
                  <m:r>
                    <m:t>P</m:t>
                  </m:r>
                </m:sub>
                <m:sup>
                  <m:r>
                    <m:t>3</m:t>
                  </m:r>
                </m:sup>
              </m:sSubSup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u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nary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remaining integral is a standard result,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u</m:t>
                </m:r>
              </m:e>
              <m:sup>
                <m:r>
                  <m:t>3</m:t>
                </m:r>
              </m:sup>
            </m:sSup>
          </m:e>
        </m:nary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4</m:t>
            </m:r>
          </m:sup>
        </m:sSup>
        <m:r>
          <m:rPr>
            <m:sty m:val="p"/>
          </m:rPr>
          <m:t>/</m:t>
        </m:r>
        <m:r>
          <m:t>15</m:t>
        </m:r>
      </m:oMath>
      <w:r>
        <w:t xml:space="preserve">, giving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p>
                <m:e>
                  <m:r>
                    <m:t>π</m:t>
                  </m:r>
                </m:e>
                <m:sup>
                  <m:r>
                    <m:t>5</m:t>
                  </m:r>
                </m:sup>
              </m:sSup>
              <m:sSubSup>
                <m:e>
                  <m:r>
                    <m:t>k</m:t>
                  </m:r>
                </m:e>
                <m:sub>
                  <m:r>
                    <m:t>B</m:t>
                  </m:r>
                </m:sub>
                <m:sup>
                  <m:r>
                    <m:t>4</m:t>
                  </m:r>
                </m:sup>
              </m:sSubSup>
            </m:num>
            <m:den>
              <m:r>
                <m:t>15</m:t>
              </m:r>
              <m:r>
                <m:t> </m:t>
              </m:r>
              <m:sSubSup>
                <m:e>
                  <m:r>
                    <m:t>h</m:t>
                  </m:r>
                </m:e>
                <m:sub>
                  <m:r>
                    <m:t>P</m:t>
                  </m:r>
                </m:sub>
                <m:sup>
                  <m:r>
                    <m:t>3</m:t>
                  </m:r>
                </m:sup>
              </m:sSubSup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 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≡</m:t>
          </m:r>
          <m:r>
            <m:t>σ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both proves the fourth-power law and yields the Stefan-Boltzmann constant in terms of</w:t>
      </w:r>
      <w:r>
        <w:t xml:space="preserve"> </w:t>
      </w:r>
      <w:r>
        <w:t xml:space="preserve">fundamental constants. This is the foundation of every radiator result in Chapter 10.</w:t>
      </w:r>
    </w:p>
    <w:bookmarkEnd w:id="122"/>
    <w:bookmarkStart w:id="123" w:name="X4c20d6d59466b0830aef63d21b34b7838499df3"/>
    <w:p>
      <w:pPr>
        <w:pStyle w:val="Heading3"/>
      </w:pPr>
      <w:r>
        <w:t xml:space="preserve">E.2 The Poisson impact model from the binomial limit</w:t>
      </w:r>
    </w:p>
    <w:p>
      <w:pPr>
        <w:pStyle w:val="FirstParagraph"/>
      </w:pPr>
      <w:r>
        <w:t xml:space="preserve">Divide the mission duration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 intervals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/</m:t>
        </m:r>
        <m:r>
          <m:t>n</m:t>
        </m:r>
      </m:oMath>
      <w:r>
        <w:t xml:space="preserve">. In each interval the</w:t>
      </w:r>
      <w:r>
        <w:t xml:space="preserve"> </w:t>
      </w:r>
      <w:r>
        <w:t xml:space="preserve">probability of one impact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Φ</m:t>
        </m:r>
        <m:r>
          <m:t>A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(flux times cross-section times time), and</w:t>
      </w:r>
      <w:r>
        <w:t xml:space="preserve"> </w:t>
      </w:r>
      <w:r>
        <w:t xml:space="preserve">impacts in different intervals are independent. The number of impacts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therefore binomial,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</m:den>
            </m:f>
          </m:e>
        </m:d>
        <m:sSup>
          <m:e>
            <m:r>
              <m:t>p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 Hold the expected count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n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Φ</m:t>
        </m:r>
        <m:r>
          <m:t>A</m:t>
        </m:r>
        <m:r>
          <m:t>t</m:t>
        </m:r>
      </m:oMath>
      <w:r>
        <w:t xml:space="preserve"> </w:t>
      </w:r>
      <w:r>
        <w:t xml:space="preserve">fixed and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). Then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</m:den>
            </m:f>
          </m:e>
        </m:d>
        <m:sSup>
          <m:e>
            <m:r>
              <m:t>p</m:t>
            </m:r>
          </m:e>
          <m:sup>
            <m:r>
              <m:t>k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/</m:t>
        </m:r>
        <m:r>
          <m:t>k</m:t>
        </m:r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  <m:r>
          <m:rPr>
            <m:sty m:val="p"/>
          </m:rPr>
          <m:t>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</m:sup>
              </m:sSup>
            </m:num>
            <m:den>
              <m:r>
                <m:t>k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probability of at least one impact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</m:sup>
        </m:sSup>
      </m:oMath>
      <w:r>
        <w:t xml:space="preserve">.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satellites the expected count scales to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rPr>
            <m:sty m:val="p"/>
          </m:rPr>
          <m:t>Φ</m:t>
        </m:r>
        <m:r>
          <m:t>A</m:t>
        </m:r>
        <m:r>
          <m:t>N</m:t>
        </m:r>
        <m:r>
          <m:t>t</m:t>
        </m:r>
      </m:oMath>
      <w:r>
        <w:t xml:space="preserve">, giving equation (9.1).</w:t>
      </w:r>
      <w:r>
        <w:t xml:space="preserve"> </w:t>
      </w:r>
      <w:r>
        <w:t xml:space="preserve">This is exact in the limit of many small independent intervals, the appropriate regime for rare</w:t>
      </w:r>
      <w:r>
        <w:t xml:space="preserve"> </w:t>
      </w:r>
      <w:r>
        <w:t xml:space="preserve">debris impacts.</w:t>
      </w:r>
    </w:p>
    <w:bookmarkEnd w:id="123"/>
    <w:bookmarkStart w:id="124" w:name="Xdbf318ef9ef49d2256131d87dbdb96f21a45420"/>
    <w:p>
      <w:pPr>
        <w:pStyle w:val="Heading3"/>
      </w:pPr>
      <w:r>
        <w:t xml:space="preserve">E.3 The Hohmann de-orbit impulse from vis-viva</w:t>
      </w:r>
    </w:p>
    <w:p>
      <w:pPr>
        <w:pStyle w:val="FirstParagraph"/>
      </w:pPr>
      <w:r>
        <w:t xml:space="preserve">The vis-viva relation for any Keplerian orbit is</w:t>
      </w:r>
      <w:r>
        <w:t xml:space="preserve"> </w:t>
      </w:r>
      <m:oMath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/</m:t>
        </m:r>
        <m:r>
          <m:t>r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a</m:t>
        </m:r>
        <m:r>
          <m:rPr>
            <m:sty m:val="p"/>
          </m:rPr>
          <m:t>)</m:t>
        </m:r>
      </m:oMath>
      <w:r>
        <w:t xml:space="preserve">, obtained from conservation</w:t>
      </w:r>
      <w:r>
        <w:t xml:space="preserve"> </w:t>
      </w:r>
      <w:r>
        <w:t xml:space="preserve">of the specific energy</w:t>
      </w:r>
      <w:r>
        <w:t xml:space="preserve"> </w:t>
      </w:r>
      <m:oMath>
        <m:r>
          <m:rPr>
            <m:scr m:val="script"/>
            <m:sty m:val="p"/>
          </m:rPr>
          <m:t>E</m:t>
        </m:r>
        <m:r>
          <m:rPr>
            <m:sty m:val="p"/>
          </m:rPr>
          <m:t>=</m:t>
        </m:r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/</m:t>
        </m:r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/</m:t>
        </m:r>
        <m:r>
          <m:t>2</m:t>
        </m:r>
        <m:r>
          <m:t>a</m:t>
        </m:r>
      </m:oMath>
      <w:r>
        <w:t xml:space="preserve">. Consider a transfer ellipse whose</w:t>
      </w:r>
      <w:r>
        <w:t xml:space="preserve"> </w:t>
      </w:r>
      <w:r>
        <w:t xml:space="preserve">apogee touches the circular orbit at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whose perigee is lowered to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; its semi-major</w:t>
      </w:r>
      <w:r>
        <w:t xml:space="preserve"> </w:t>
      </w:r>
      <w:r>
        <w:t xml:space="preserve">axis is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. The speed required at the apogee of this transfer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μ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</m:e>
              </m:d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μ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rad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satellite is initially on the circular orbit at speed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μ</m:t>
            </m:r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e>
        </m:rad>
      </m:oMath>
      <w:r>
        <w:t xml:space="preserve">, so the retrograde</w:t>
      </w:r>
      <w:r>
        <w:t xml:space="preserve"> </w:t>
      </w:r>
      <w:r>
        <w:t xml:space="preserve">impulse needed is the difference,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1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equation (15.1). Lowering the perigee into the dense atmosphere (here to 180 km) guarantees</w:t>
      </w:r>
      <w:r>
        <w:t xml:space="preserve"> </w:t>
      </w:r>
      <w:r>
        <w:t xml:space="preserve">re-entry within one or two orbits, satisfying the disposal requirement.</w:t>
      </w:r>
    </w:p>
    <w:bookmarkEnd w:id="124"/>
    <w:bookmarkStart w:id="125" w:name="X67de4cda1ab68499f29ee0b2ccb5ff91efedb0e"/>
    <w:p>
      <w:pPr>
        <w:pStyle w:val="Heading3"/>
      </w:pPr>
      <w:r>
        <w:t xml:space="preserve">E.4 The Clohessy-Wiltshire relative equations</w:t>
      </w:r>
    </w:p>
    <w:p>
      <w:pPr>
        <w:pStyle w:val="FirstParagraph"/>
      </w:pPr>
      <w:r>
        <w:t xml:space="preserve">Let a chief satellite move on a circular orbit of radius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mean motion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μ</m:t>
            </m:r>
            <m:r>
              <m:rPr>
                <m:sty m:val="p"/>
              </m:rPr>
              <m:t>/</m:t>
            </m:r>
            <m:sSubSup>
              <m:e>
                <m:r>
                  <m:t>r</m:t>
                </m:r>
              </m:e>
              <m:sub>
                <m:r>
                  <m:t>0</m:t>
                </m:r>
              </m:sub>
              <m:sup>
                <m:r>
                  <m:t>3</m:t>
                </m:r>
              </m:sup>
            </m:sSubSup>
          </m:e>
        </m:rad>
      </m:oMath>
      <w:r>
        <w:t xml:space="preserve">,</w:t>
      </w:r>
      <w:r>
        <w:t xml:space="preserve"> </w:t>
      </w:r>
      <w:r>
        <w:t xml:space="preserve">and let a deputy be displaced by a small vector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in the rotating Hill frame (radial,</w:t>
      </w:r>
      <w:r>
        <w:t xml:space="preserve"> </w:t>
      </w:r>
      <w:r>
        <w:t xml:space="preserve">along-track, cross-track). Writing Newton’s equation for the deputy, expanding the gravity gradient</w:t>
      </w:r>
      <w:r>
        <w:t xml:space="preserve"> </w:t>
      </w:r>
      <w:r>
        <w:t xml:space="preserve">to first order in the small displacement, and accounting for the frame rotation (Coriolis and</w:t>
      </w:r>
      <w:r>
        <w:t xml:space="preserve"> </w:t>
      </w:r>
      <w:r>
        <w:t xml:space="preserve">centrifugal terms) yields the linearized system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̈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r>
            <m:t>2</m:t>
          </m:r>
          <m:r>
            <m:t>n</m:t>
          </m:r>
          <m:acc>
            <m:accPr>
              <m:chr m:val="̇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3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t>x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,</m:t>
          </m:r>
          <m:r>
            <m:t> </m:t>
          </m:r>
          <m:acc>
            <m:accPr>
              <m:chr m:val="̈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n</m:t>
          </m:r>
          <m:acc>
            <m:accPr>
              <m:chr m:val="̇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,</m:t>
          </m:r>
          <m:r>
            <m:t> </m:t>
          </m:r>
          <m:acc>
            <m:accPr>
              <m:chr m:val="̈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t>z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cross-track equation is a simple harmonic oscillator at frequency</w:t>
      </w:r>
      <w:r>
        <w:t xml:space="preserve"> </w:t>
      </w:r>
      <m:oMath>
        <m:r>
          <m:t>n</m:t>
        </m:r>
      </m:oMath>
      <w:r>
        <w:t xml:space="preserve">. The in-plane equations</w:t>
      </w:r>
      <w:r>
        <w:t xml:space="preserve"> </w:t>
      </w:r>
      <w:r>
        <w:t xml:space="preserve">couple radial and along-track motion; their unforced solution contains bounded oscillations 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plus a secular along-track drift proportional to any initial energy mismatch. Crucially, a constant</w:t>
      </w:r>
      <w:r>
        <w:t xml:space="preserve"> </w:t>
      </w:r>
      <w:r>
        <w:t xml:space="preserve">differential along-track acceleration</w:t>
      </w:r>
      <w:r>
        <w:t xml:space="preserve"> </w:t>
      </w:r>
      <m:oMath>
        <m:sSub>
          <m:e>
            <m:r>
              <m:t>a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(such as differential drag) integrates twice into an</w:t>
      </w:r>
      <w:r>
        <w:t xml:space="preserve"> </w:t>
      </w:r>
      <w:r>
        <w:t xml:space="preserve">along-track displacement that grows as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t>a</m:t>
            </m:r>
          </m:e>
          <m:sub>
            <m:r>
              <m:t>y</m:t>
            </m:r>
          </m:sub>
        </m:sSub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leading order, augmented by the</w:t>
      </w:r>
      <w:r>
        <w:t xml:space="preserve"> </w:t>
      </w:r>
      <w:r>
        <w:t xml:space="preserve">Coriolis coupling to a coefficient of order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, which is the quadratic-in-time drift</w:t>
      </w:r>
      <w:r>
        <w:t xml:space="preserve"> </w:t>
      </w:r>
      <w:r>
        <w:t xml:space="preserve">discussed in Chapter 28 and the reason the formation needs active relative control.</w:t>
      </w:r>
    </w:p>
    <w:bookmarkEnd w:id="125"/>
    <w:bookmarkStart w:id="126" w:name="e.5-the-rocket-equation"/>
    <w:p>
      <w:pPr>
        <w:pStyle w:val="Heading3"/>
      </w:pPr>
      <w:r>
        <w:t xml:space="preserve">E.5 The rocket equation</w:t>
      </w:r>
    </w:p>
    <w:p>
      <w:pPr>
        <w:pStyle w:val="FirstParagraph"/>
      </w:pPr>
      <w:r>
        <w:t xml:space="preserve">A rocket of instantaneous mass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expelling propellant at exhaust speed</w:t>
      </w:r>
      <w:r>
        <w:t xml:space="preserve"> </w:t>
      </w:r>
      <m:oMath>
        <m:sSub>
          <m:e>
            <m:r>
              <m:t>v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relative to the</w:t>
      </w:r>
      <w:r>
        <w:t xml:space="preserve"> </w:t>
      </w:r>
      <w:r>
        <w:t xml:space="preserve">vehicle changes its momentum according to</w:t>
      </w:r>
      <w:r>
        <w:t xml:space="preserve"> </w:t>
      </w:r>
      <m:oMath>
        <m:r>
          <m:t>m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e</m:t>
            </m:r>
          </m:sub>
        </m:sSub>
        <m:r>
          <m:t> </m:t>
        </m:r>
        <m:r>
          <m:t>d</m:t>
        </m:r>
        <m:r>
          <m:t>m</m:t>
        </m:r>
      </m:oMath>
      <w:r>
        <w:t xml:space="preserve"> </w:t>
      </w:r>
      <w:r>
        <w:t xml:space="preserve">(the mass decreases as propellant is</w:t>
      </w:r>
      <w:r>
        <w:t xml:space="preserve"> </w:t>
      </w:r>
      <w:r>
        <w:t xml:space="preserve">ejected, hence the minus sign). Separating variables and integrating from the initial mass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w:r>
        <w:t xml:space="preserve">the final (dry) mass</w:t>
      </w:r>
      <w:r>
        <w:t xml:space="preserve"> </w:t>
      </w:r>
      <m:oMath>
        <m:sSub>
          <m:e>
            <m:r>
              <m:t>m</m:t>
            </m:r>
          </m:e>
          <m:sub>
            <m:r>
              <m:t>f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Δ</m:t>
              </m:r>
              <m:r>
                <m:t>v</m:t>
              </m:r>
            </m:sup>
            <m:e>
              <m:r>
                <m:t>d</m:t>
              </m:r>
            </m:e>
          </m:nary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e</m:t>
              </m:r>
            </m:sub>
          </m:sSub>
          <m:nary>
            <m:naryPr>
              <m:chr m:val="∫"/>
              <m:limLoc m:val="subSup"/>
              <m:subHide m:val="off"/>
              <m:supHide m:val="off"/>
            </m:naryPr>
            <m:sub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sub>
            <m:sup>
              <m:sSub>
                <m:e>
                  <m:r>
                    <m:t>m</m:t>
                  </m:r>
                </m:e>
                <m:sub>
                  <m:r>
                    <m:t>f</m:t>
                  </m:r>
                </m:sub>
              </m:sSub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m</m:t>
                  </m:r>
                </m:num>
                <m:den>
                  <m:r>
                    <m:t>m</m:t>
                  </m:r>
                </m:den>
              </m:f>
            </m:e>
          </m:nary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sty m:val="p"/>
            </m:rPr>
            <m:t>Δ</m:t>
          </m:r>
          <m:r>
            <m:t>v</m:t>
          </m:r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f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s</m:t>
            </m:r>
            <m:r>
              <m:t>p</m:t>
            </m:r>
          </m:sub>
        </m:sSub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y</m:t>
            </m:r>
          </m:sub>
        </m:sSub>
      </m:oMath>
      <w:r>
        <w:t xml:space="preserve">, the propellant mass</w:t>
      </w:r>
      <w:r>
        <w:t xml:space="preserve"> </w:t>
      </w:r>
      <m:oMath>
        <m:sSub>
          <m:e>
            <m:r>
              <m:t>m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follows by</w:t>
      </w:r>
      <w:r>
        <w:t xml:space="preserve"> </w:t>
      </w:r>
      <w:r>
        <w:t xml:space="preserve">inverting: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y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Δ</m:t>
                  </m:r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s</m:t>
                      </m:r>
                      <m:r>
                        <m:t>p</m:t>
                      </m:r>
                    </m:sub>
                  </m:sSub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equation (15.2). The exponential dependence is why a high specific impulse (electric</w:t>
      </w:r>
      <w:r>
        <w:t xml:space="preserve"> </w:t>
      </w:r>
      <w:r>
        <w:t xml:space="preserve">propulsion) so dramatically reduces propellant mass for a given Δv.</w:t>
      </w:r>
    </w:p>
    <w:bookmarkEnd w:id="126"/>
    <w:bookmarkStart w:id="127" w:name="e.6-k-of-n-redundancy"/>
    <w:p>
      <w:pPr>
        <w:pStyle w:val="Heading3"/>
      </w:pPr>
      <w:r>
        <w:t xml:space="preserve">E.6 k-of-n redundancy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identical units each survive independently with probability</w:t>
      </w:r>
      <w:r>
        <w:t xml:space="preserve"> </w:t>
      </w:r>
      <m:oMath>
        <m:r>
          <m:t>p</m:t>
        </m:r>
      </m:oMath>
      <w:r>
        <w:t xml:space="preserve">, the number that survive is</w:t>
      </w:r>
      <w:r>
        <w:t xml:space="preserve"> </w:t>
      </w:r>
      <w:r>
        <w:t xml:space="preserve">binomial. The system requires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survivors, so its reliability is the upper tail of the</w:t>
      </w:r>
      <w:r>
        <w:t xml:space="preserve"> </w:t>
      </w:r>
      <w:r>
        <w:t xml:space="preserve">binomial distribution,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y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i</m:t>
                      </m:r>
                    </m:den>
                  </m:f>
                </m:e>
              </m:d>
            </m:e>
          </m:nary>
          <m:r>
            <m:t> </m:t>
          </m:r>
          <m:sSup>
            <m:e>
              <m:r>
                <m:t>p</m:t>
              </m:r>
            </m:e>
            <m:sup>
              <m:r>
                <m:t>i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p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i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Two special cases are familiar: a parallel (one-of-</w:t>
      </w:r>
      <m:oMath>
        <m:r>
          <m:t>n</m:t>
        </m:r>
      </m:oMath>
      <w:r>
        <w:t xml:space="preserve">) system has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, and a series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-of-</w:t>
      </w:r>
      <m:oMath>
        <m:r>
          <m:t>n</m:t>
        </m:r>
      </m:oMath>
      <w:r>
        <w:t xml:space="preserve">) system has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n</m:t>
            </m:r>
          </m:sup>
        </m:sSup>
      </m:oMath>
      <w:r>
        <w:t xml:space="preserve">. This expression sizes both the spare accelerators within a</w:t>
      </w:r>
      <w:r>
        <w:t xml:space="preserve"> </w:t>
      </w:r>
      <w:r>
        <w:t xml:space="preserve">satellite and the over-provisioned satellites within a cluster (Chapter 16).</w:t>
      </w:r>
    </w:p>
    <w:bookmarkEnd w:id="127"/>
    <w:bookmarkStart w:id="128" w:name="X1e2c0797711e5a38d867b0034b661cf8291a89f"/>
    <w:p>
      <w:pPr>
        <w:pStyle w:val="Heading3"/>
      </w:pPr>
      <w:r>
        <w:t xml:space="preserve">E.7 Newton-Raphson for the radiator quartic</w:t>
      </w:r>
    </w:p>
    <w:p>
      <w:pPr>
        <w:pStyle w:val="FirstParagraph"/>
      </w:pPr>
      <w:r>
        <w:t xml:space="preserve">To find the radiator temperature at fixed area, one solves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−</m:t>
        </m:r>
        <m:r>
          <m:t>ε</m:t>
        </m:r>
        <m:r>
          <m:t>σ</m:t>
        </m:r>
        <m:r>
          <m:t>A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Newton’s method linearizes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about the current iterate: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δ</m:t>
        </m:r>
      </m:oMath>
      <w:r>
        <w:t xml:space="preserve">,</w:t>
      </w:r>
      <w:r>
        <w:t xml:space="preserve"> </w:t>
      </w:r>
      <w:r>
        <w:t xml:space="preserve">set to zero gives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hence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−</m:t>
              </m:r>
              <m:r>
                <m:t>ε</m:t>
              </m:r>
              <m:r>
                <m:t>σ</m:t>
              </m:r>
              <m:r>
                <m:t>A</m:t>
              </m:r>
              <m:sSubSup>
                <m:e>
                  <m:r>
                    <m:t>T</m:t>
                  </m:r>
                </m:e>
                <m:sub>
                  <m:r>
                    <m:t>k</m:t>
                  </m:r>
                </m:sub>
                <m:sup>
                  <m:r>
                    <m:t>4</m:t>
                  </m:r>
                </m:sup>
              </m:sSubSup>
            </m:num>
            <m:den>
              <m:r>
                <m:t>4</m:t>
              </m:r>
              <m:r>
                <m:t> </m:t>
              </m:r>
              <m:r>
                <m:t>ε</m:t>
              </m:r>
              <m:r>
                <m:t>σ</m:t>
              </m:r>
              <m:r>
                <m:t>A</m:t>
              </m:r>
              <m:sSubSup>
                <m:e>
                  <m:r>
                    <m:t>T</m:t>
                  </m:r>
                </m:e>
                <m:sub>
                  <m:r>
                    <m:t>k</m:t>
                  </m:r>
                </m:sub>
                <m:sup>
                  <m:r>
                    <m:t>3</m:t>
                  </m:r>
                </m:sup>
              </m:sSub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smooth and strictly decreasing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(its derivative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t>ε</m:t>
        </m:r>
        <m:r>
          <m:t>σ</m:t>
        </m:r>
        <m:r>
          <m:t>A</m:t>
        </m:r>
        <m:sSup>
          <m:e>
            <m:r>
              <m:t>T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never vanishes there), the iteration converges quadratically from any reasonable start; in practice,</w:t>
      </w:r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300</m:t>
        </m:r>
      </m:oMath>
      <w:r>
        <w:t xml:space="preserve"> </w:t>
      </w:r>
      <w:r>
        <w:t xml:space="preserve">K it reaches a tolerance of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K in two to four steps.</w:t>
      </w:r>
    </w:p>
    <w:bookmarkEnd w:id="128"/>
    <w:bookmarkStart w:id="129" w:name="e.8-the-capital-recovery-factor"/>
    <w:p>
      <w:pPr>
        <w:pStyle w:val="Heading3"/>
      </w:pPr>
      <w:r>
        <w:t xml:space="preserve">E.8 The capital-recovery factor</w:t>
      </w:r>
    </w:p>
    <w:p>
      <w:pPr>
        <w:pStyle w:val="FirstParagraph"/>
      </w:pPr>
      <w:r>
        <w:t xml:space="preserve">The capital-recovery factor converts a present capital sum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into an equivalent stream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 annual payments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discount rate</w:t>
      </w:r>
      <w:r>
        <w:t xml:space="preserve"> </w:t>
      </w:r>
      <m:oMath>
        <m:r>
          <m:t>r</m:t>
        </m:r>
      </m:oMath>
      <w:r>
        <w:t xml:space="preserve">. The present value of the payment stream is a finite</w:t>
      </w:r>
      <w:r>
        <w:t xml:space="preserve"> </w:t>
      </w:r>
      <w:r>
        <w:t xml:space="preserve">geometric series,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</m:e>
          </m:nary>
          <m:r>
            <m:rPr>
              <m:sty m:val="p"/>
            </m:rPr>
            <m:t>=</m:t>
          </m:r>
          <m:r>
            <m:t>X</m:t>
          </m:r>
          <m:r>
            <m:t> 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r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num>
            <m:den>
              <m:r>
                <m:t>r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Solving for the annual payment per unit capital 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R</m:t>
          </m:r>
          <m:r>
            <m:rPr>
              <m:sty m:val="p"/>
            </m:rP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r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r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used in the levelized-cost-of-compute formula (21.1) to annualize the satellite hardware and launch</w:t>
      </w:r>
      <w:r>
        <w:t xml:space="preserve"> </w:t>
      </w:r>
      <w:r>
        <w:t xml:space="preserve">cost over its operational life.</w:t>
      </w:r>
    </w:p>
    <w:p>
      <w:pPr>
        <w:pStyle w:val="BodyText"/>
      </w:pPr>
      <w:r>
        <w:rPr>
          <w:i/>
          <w:iCs/>
        </w:rPr>
        <w:t xml:space="preserve">End of report.</w:t>
      </w:r>
    </w:p>
    <w:bookmarkEnd w:id="129"/>
    <w:bookmarkEnd w:id="130"/>
    <w:bookmarkEnd w:id="1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43" Target="media/rId43.png" /><Relationship Type="http://schemas.openxmlformats.org/officeDocument/2006/relationships/image" Id="rId85" Target="media/rId85.png" /><Relationship Type="http://schemas.openxmlformats.org/officeDocument/2006/relationships/image" Id="rId88" Target="media/rId88.png" /><Relationship Type="http://schemas.openxmlformats.org/officeDocument/2006/relationships/image" Id="rId63" Target="media/rId63.png" /><Relationship Type="http://schemas.openxmlformats.org/officeDocument/2006/relationships/image" Id="rId107" Target="media/rId107.png" /><Relationship Type="http://schemas.openxmlformats.org/officeDocument/2006/relationships/image" Id="rId23" Target="media/rId23.png" /><Relationship Type="http://schemas.openxmlformats.org/officeDocument/2006/relationships/image" Id="rId40" Target="media/rId40.png" /><Relationship Type="http://schemas.openxmlformats.org/officeDocument/2006/relationships/image" Id="rId37" Target="media/rId37.png" /><Relationship Type="http://schemas.openxmlformats.org/officeDocument/2006/relationships/image" Id="rId56" Target="media/rId56.png" /><Relationship Type="http://schemas.openxmlformats.org/officeDocument/2006/relationships/image" Id="rId31" Target="media/rId31.png" /><Relationship Type="http://schemas.openxmlformats.org/officeDocument/2006/relationships/image" Id="rId93" Target="media/rId93.png" /><Relationship Type="http://schemas.openxmlformats.org/officeDocument/2006/relationships/image" Id="rId51" Target="media/rId51.png" /><Relationship Type="http://schemas.openxmlformats.org/officeDocument/2006/relationships/image" Id="rId100" Target="media/rId100.png" /><Relationship Type="http://schemas.openxmlformats.org/officeDocument/2006/relationships/image" Id="rId59" Target="media/rId59.png" /><Relationship Type="http://schemas.openxmlformats.org/officeDocument/2006/relationships/image" Id="rId96" Target="media/rId96.png" /><Relationship Type="http://schemas.openxmlformats.org/officeDocument/2006/relationships/image" Id="rId76" Target="media/rId76.png" /><Relationship Type="http://schemas.openxmlformats.org/officeDocument/2006/relationships/image" Id="rId81" Target="media/rId81.png" /><Relationship Type="http://schemas.openxmlformats.org/officeDocument/2006/relationships/image" Id="rId71" Target="media/rId71.png" /><Relationship Type="http://schemas.openxmlformats.org/officeDocument/2006/relationships/image" Id="rId47" Target="media/rId47.png" /><Relationship Type="http://schemas.openxmlformats.org/officeDocument/2006/relationships/image" Id="rId67" Target="media/rId6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Space-Based AI Data Centers: Physics, Mathematics, Simulation, and Economics</dc:title>
  <dc:creator>Samarjith Biswas, PhD</dc:creator>
  <cp:keywords/>
  <dcterms:created xsi:type="dcterms:W3CDTF">2026-06-19T03:15:37Z</dcterms:created>
  <dcterms:modified xsi:type="dcterms:W3CDTF">2026-06-19T03:15:37Z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