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2.png" ContentType="image/png"/>
  <Override PartName="/word/media/rId116.png" ContentType="image/png"/>
  <Override PartName="/word/media/rId119.png" ContentType="image/png"/>
  <Override PartName="/word/media/rId91.png" ContentType="image/png"/>
  <Override PartName="/word/media/rId131.png" ContentType="image/png"/>
  <Override PartName="/word/media/rId144.png" ContentType="image/png"/>
  <Override PartName="/word/media/rId33.png" ContentType="image/png"/>
  <Override PartName="/word/media/rId59.png" ContentType="image/png"/>
  <Override PartName="/word/media/rId56.png" ContentType="image/png"/>
  <Override PartName="/word/media/rId81.png" ContentType="image/png"/>
  <Override PartName="/word/media/rId44.png" ContentType="image/png"/>
  <Override PartName="/word/media/rId124.png" ContentType="image/png"/>
  <Override PartName="/word/media/rId70.png" ContentType="image/png"/>
  <Override PartName="/word/media/rId134.png" ContentType="image/png"/>
  <Override PartName="/word/media/rId30.png" ContentType="image/png"/>
  <Override PartName="/word/media/rId99.png" ContentType="image/png"/>
  <Override PartName="/word/media/rId19.png" ContentType="image/png"/>
  <Override PartName="/word/media/rId48.png" ContentType="image/png"/>
  <Override PartName="/word/media/rId88.png" ContentType="image/png"/>
  <Override PartName="/word/media/rId78.png" ContentType="image/png"/>
  <Override PartName="/word/media/rId26.png" ContentType="image/png"/>
  <Override PartName="/word/media/rId74.png" ContentType="image/png"/>
  <Override PartName="/word/media/rId41.png" ContentType="image/png"/>
  <Override PartName="/word/media/rId53.png" ContentType="image/png"/>
  <Override PartName="/word/media/rId138.png" ContentType="image/png"/>
  <Override PartName="/word/media/rId84.png" ContentType="image/png"/>
  <Override PartName="/word/media/rId127.png" ContentType="image/png"/>
  <Override PartName="/word/media/rId107.png" ContentType="image/png"/>
  <Override PartName="/word/media/rId112.png" ContentType="image/png"/>
  <Override PartName="/word/media/rId102.png" ContentType="image/png"/>
  <Override PartName="/word/media/rId6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5"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p>
      <w:r>
        <w:pict>
          <v:rect style="width:0;height:1.5pt" o:hralign="center" o:hrstd="t" o:hr="t"/>
        </w:pict>
      </w:r>
    </w:p>
    <w:bookmarkEnd w:id="14"/>
    <w:bookmarkEnd w:id="15"/>
    <w:bookmarkStart w:id="24" w:name="part-i-introduction-and-context"/>
    <w:p>
      <w:pPr>
        <w:pStyle w:val="Heading1"/>
      </w:pPr>
      <w:r>
        <w:t xml:space="preserve">PART I, INTRODUCTION AND CONTEXT</w:t>
      </w:r>
    </w:p>
    <w:bookmarkStart w:id="16"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bookmarkEnd w:id="16"/>
    <w:bookmarkStart w:id="17"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bookmarkEnd w:id="17"/>
    <w:bookmarkStart w:id="18"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13.6</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m:t>
          </m:r>
          <m:r>
            <m:rPr>
              <m:sty m:val="p"/>
            </m:rPr>
            <m:t>=</m:t>
          </m:r>
          <m:r>
            <m:t>0.311</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bookmarkEnd w:id="18"/>
    <w:bookmarkStart w:id="22"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CaptionedFigure"/>
      </w:pPr>
      <w:r>
        <w:drawing>
          <wp:inline>
            <wp:extent cx="5334000" cy="3619500"/>
            <wp:effectExtent b="0" l="0" r="0" t="0"/>
            <wp:docPr descr="Top view of the reference cluster: about eighty satellites within a one-kilometre circle, linked by laser at roughly one hundred and fifty metre spacing." title="" id="20" name="Picture"/>
            <a:graphic>
              <a:graphicData uri="http://schemas.openxmlformats.org/drawingml/2006/picture">
                <pic:pic>
                  <pic:nvPicPr>
                    <pic:cNvPr descr="schematics/diagram_constellation.png" id="21" name="Picture"/>
                    <pic:cNvPicPr>
                      <a:picLocks noChangeArrowheads="1" noChangeAspect="1"/>
                    </pic:cNvPicPr>
                  </pic:nvPicPr>
                  <pic:blipFill>
                    <a:blip r:embed="rId1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Top view of the reference cluster: about eighty satellites within a one-kilometre circle, linked by laser at roughly one hundred and fifty metre spacing.</w:t>
      </w:r>
    </w:p>
    <w:p>
      <w:pPr>
        <w:pStyle w:val="BodyText"/>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bookmarkEnd w:id="22"/>
    <w:bookmarkStart w:id="23"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bookmarkEnd w:id="23"/>
    <w:bookmarkEnd w:id="24"/>
    <w:bookmarkStart w:id="52" w:name="part-ii-the-orbital-environment"/>
    <w:p>
      <w:pPr>
        <w:pStyle w:val="Heading1"/>
      </w:pPr>
      <w:r>
        <w:t xml:space="preserve">PART II, THE ORBITAL ENVIRONMENT</w:t>
      </w:r>
    </w:p>
    <w:bookmarkStart w:id="25"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FirstParagraph"/>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The two-body problem.</w:t>
      </w:r>
      <w:r>
        <w:t xml:space="preserve"> </w:t>
      </w:r>
      <w:r>
        <w:t xml:space="preserve">The circular relations above are special cases of the two-body problem.</w:t>
      </w:r>
      <w:r>
        <w:t xml:space="preserve"> </w:t>
      </w:r>
      <w:r>
        <w:t xml:space="preserve">Newton’s law of gravitation and the second law give the relative acceleration of the satellite with</w:t>
      </w:r>
      <w:r>
        <w:t xml:space="preserve"> </w:t>
      </w:r>
      <w:r>
        <w:t xml:space="preserve">respect to Earth,</w:t>
      </w:r>
    </w:p>
    <w:p>
      <w:pPr>
        <w:pStyle w:val="BodyText"/>
      </w:pPr>
      <m:oMathPara>
        <m:oMathParaPr>
          <m:jc m:val="center"/>
        </m:oMathParaPr>
        <m:oMath>
          <m:acc>
            <m:accPr>
              <m:chr m:val="̈"/>
            </m:accPr>
            <m:e>
              <m:r>
                <m:rPr>
                  <m:sty m:val="bi"/>
                </m:rPr>
                <m:t>r</m:t>
              </m:r>
            </m:e>
          </m:acc>
          <m:r>
            <m:rPr>
              <m:sty m:val="p"/>
            </m:rPr>
            <m:t>=</m:t>
          </m:r>
          <m:r>
            <m:rPr>
              <m:sty m:val="p"/>
            </m:rPr>
            <m:t>−</m:t>
          </m:r>
          <m:f>
            <m:fPr>
              <m:type m:val="bar"/>
            </m:fPr>
            <m:num>
              <m:r>
                <m:t>μ</m:t>
              </m:r>
            </m:num>
            <m:den>
              <m:sSup>
                <m:e>
                  <m:r>
                    <m:t>r</m:t>
                  </m:r>
                </m:e>
                <m:sup>
                  <m:r>
                    <m:t>3</m:t>
                  </m:r>
                </m:sup>
              </m:sSup>
            </m:den>
          </m:f>
          <m:r>
            <m:t> </m:t>
          </m:r>
          <m:r>
            <m:rPr>
              <m:sty m:val="bi"/>
            </m:rPr>
            <m:t>r</m:t>
          </m:r>
          <m:r>
            <m:rPr>
              <m:sty m:val="p"/>
            </m:rPr>
            <m:t>,</m:t>
          </m:r>
          <m:r>
            <m:t>  </m:t>
          </m:r>
          <m:r>
            <m:t>μ</m:t>
          </m:r>
          <m:r>
            <m:rPr>
              <m:sty m:val="p"/>
            </m:rPr>
            <m:t>=</m:t>
          </m:r>
          <m:r>
            <m:t>G</m:t>
          </m:r>
          <m:r>
            <m:rPr>
              <m:sty m:val="p"/>
            </m:rPr>
            <m:t>(</m:t>
          </m:r>
          <m:sSub>
            <m:e>
              <m:r>
                <m:t>M</m:t>
              </m:r>
            </m:e>
            <m:sub>
              <m:r>
                <m:rPr>
                  <m:sty m:val="p"/>
                </m:rPr>
                <m:t>⊕</m:t>
              </m:r>
            </m:sub>
          </m:sSub>
          <m:r>
            <m:rPr>
              <m:sty m:val="p"/>
            </m:rPr>
            <m:t>+</m:t>
          </m:r>
          <m:r>
            <m:t>m</m:t>
          </m:r>
          <m:r>
            <m:rPr>
              <m:sty m:val="p"/>
            </m:rPr>
            <m:t>)</m:t>
          </m:r>
          <m:r>
            <m:rPr>
              <m:sty m:val="p"/>
            </m:rPr>
            <m:t>≈</m:t>
          </m:r>
          <m:r>
            <m:t>G</m:t>
          </m:r>
          <m:sSub>
            <m:e>
              <m:r>
                <m:t>M</m:t>
              </m:r>
            </m:e>
            <m:sub>
              <m:r>
                <m:rPr>
                  <m:sty m:val="p"/>
                </m:rPr>
                <m:t>⊕</m:t>
              </m:r>
            </m:sub>
          </m:sSub>
          <m:r>
            <m:rPr>
              <m:sty m:val="p"/>
            </m:rPr>
            <m:t>,</m:t>
          </m:r>
        </m:oMath>
      </m:oMathPara>
    </w:p>
    <w:p>
      <w:pPr>
        <w:pStyle w:val="FirstParagraph"/>
      </w:pPr>
      <w:r>
        <w:t xml:space="preserve">where the approximation holds because the satellite mass is negligible against Earth’s. Taking the</w:t>
      </w:r>
      <w:r>
        <w:t xml:space="preserve"> </w:t>
      </w:r>
      <w:r>
        <w:t xml:space="preserve">cross product of (4.4) with</w:t>
      </w:r>
      <w:r>
        <w:t xml:space="preserve"> </w:t>
      </w:r>
      <m:oMath>
        <m:r>
          <m:rPr>
            <m:sty m:val="bi"/>
          </m:rPr>
          <m:t>r</m:t>
        </m:r>
      </m:oMath>
      <w:r>
        <w:t xml:space="preserve"> </w:t>
      </w:r>
      <w:r>
        <w:t xml:space="preserve">shows that the specific angular momentum is conserved,</w:t>
      </w:r>
    </w:p>
    <w:p>
      <w:pPr>
        <w:pStyle w:val="BodyText"/>
      </w:pPr>
      <m:oMathPara>
        <m:oMathParaPr>
          <m:jc m:val="center"/>
        </m:oMathParaPr>
        <m:oMath>
          <m:r>
            <m:rPr>
              <m:sty m:val="bi"/>
            </m:rPr>
            <m:t>h</m:t>
          </m:r>
          <m:r>
            <m:rPr>
              <m:sty m:val="p"/>
            </m:rPr>
            <m:t>=</m:t>
          </m:r>
          <m:r>
            <m:rPr>
              <m:sty m:val="bi"/>
            </m:rPr>
            <m:t>r</m:t>
          </m:r>
          <m:r>
            <m:rPr>
              <m:sty m:val="p"/>
            </m:rPr>
            <m:t>×</m:t>
          </m:r>
          <m:acc>
            <m:accPr>
              <m:chr m:val="̇"/>
            </m:accPr>
            <m:e>
              <m:r>
                <m:rPr>
                  <m:sty m:val="bi"/>
                </m:rPr>
                <m:t>r</m:t>
              </m:r>
            </m:e>
          </m:acc>
          <m:r>
            <m:rPr>
              <m:sty m:val="p"/>
            </m:rPr>
            <m:t>,</m:t>
          </m:r>
          <m:r>
            <m:t>  </m:t>
          </m:r>
          <m:f>
            <m:fPr>
              <m:type m:val="bar"/>
            </m:fPr>
            <m:num>
              <m:r>
                <m:t>d</m:t>
              </m:r>
              <m:r>
                <m:rPr>
                  <m:sty m:val="bi"/>
                </m:rPr>
                <m:t>h</m:t>
              </m:r>
            </m:num>
            <m:den>
              <m:r>
                <m:t>d</m:t>
              </m:r>
              <m:r>
                <m:t>t</m:t>
              </m:r>
            </m:den>
          </m:f>
          <m:r>
            <m:rPr>
              <m:sty m:val="p"/>
            </m:rPr>
            <m:t>=</m:t>
          </m:r>
          <m:r>
            <m:t>0</m:t>
          </m:r>
          <m:r>
            <m:rPr>
              <m:sty m:val="p"/>
            </m:rPr>
            <m:t>,</m:t>
          </m:r>
        </m:oMath>
      </m:oMathPara>
    </w:p>
    <w:p>
      <w:pPr>
        <w:pStyle w:val="FirstParagraph"/>
      </w:pPr>
      <w:r>
        <w:t xml:space="preserve">so the motion stays in a plane and the radius vector sweeps equal areas in equal times, which is</w:t>
      </w:r>
      <w:r>
        <w:t xml:space="preserve"> </w:t>
      </w:r>
      <w:r>
        <w:t xml:space="preserve">Kepler’s second law.</w:t>
      </w:r>
    </w:p>
    <w:p>
      <w:pPr>
        <w:pStyle w:val="BodyText"/>
      </w:pPr>
      <w:r>
        <w:rPr>
          <w:b/>
          <w:bCs/>
        </w:rPr>
        <w:t xml:space="preserve">The orbit equation.</w:t>
      </w:r>
      <w:r>
        <w:t xml:space="preserve"> </w:t>
      </w:r>
      <w:r>
        <w:t xml:space="preserve">Integrating (4.4) once, using the conserved eccentricity (Laplace-Runge-Lenz)</w:t>
      </w:r>
      <w:r>
        <w:t xml:space="preserve"> </w:t>
      </w:r>
      <w:r>
        <w:t xml:space="preserve">vector, yields the trajectory as a conic section written in focal polar form,</w:t>
      </w:r>
    </w:p>
    <w:p>
      <w:pPr>
        <w:pStyle w:val="BodyText"/>
      </w:pPr>
      <m:oMathPara>
        <m:oMathParaPr>
          <m:jc m:val="center"/>
        </m:oMathParaPr>
        <m:oMath>
          <m:r>
            <m:t>r</m:t>
          </m:r>
          <m:r>
            <m:rPr>
              <m:sty m:val="p"/>
            </m:rPr>
            <m:t>(</m:t>
          </m:r>
          <m:r>
            <m:t>θ</m:t>
          </m:r>
          <m:r>
            <m:rPr>
              <m:sty m:val="p"/>
            </m:rPr>
            <m:t>)</m:t>
          </m:r>
          <m:r>
            <m:rPr>
              <m:sty m:val="p"/>
            </m:rPr>
            <m:t>=</m:t>
          </m:r>
          <m:f>
            <m:fPr>
              <m:type m:val="bar"/>
            </m:fPr>
            <m:num>
              <m:sSup>
                <m:e>
                  <m:r>
                    <m:t>h</m:t>
                  </m:r>
                </m:e>
                <m:sup>
                  <m:r>
                    <m:t>2</m:t>
                  </m:r>
                </m:sup>
              </m:sSup>
              <m:r>
                <m:rPr>
                  <m:sty m:val="p"/>
                </m:rPr>
                <m:t>/</m:t>
              </m:r>
              <m:r>
                <m:t>μ</m:t>
              </m:r>
            </m:num>
            <m:den>
              <m:r>
                <m:t>1</m:t>
              </m:r>
              <m:r>
                <m:rPr>
                  <m:sty m:val="p"/>
                </m:rPr>
                <m:t>+</m:t>
              </m:r>
              <m:r>
                <m:t>e</m:t>
              </m:r>
              <m:r>
                <m:rPr>
                  <m:sty m:val="p"/>
                </m:rPr>
                <m:t>cos</m:t>
              </m:r>
              <m:r>
                <m:t>θ</m:t>
              </m:r>
            </m:den>
          </m:f>
          <m:r>
            <m:rPr>
              <m:sty m:val="p"/>
            </m:rPr>
            <m:t>=</m:t>
          </m:r>
          <m:f>
            <m:fPr>
              <m:type m:val="bar"/>
            </m:fPr>
            <m:num>
              <m:r>
                <m:t>p</m:t>
              </m:r>
            </m:num>
            <m:den>
              <m:r>
                <m:t>1</m:t>
              </m:r>
              <m:r>
                <m:rPr>
                  <m:sty m:val="p"/>
                </m:rPr>
                <m:t>+</m:t>
              </m:r>
              <m:r>
                <m:t>e</m:t>
              </m:r>
              <m:r>
                <m:rPr>
                  <m:sty m:val="p"/>
                </m:rPr>
                <m:t>cos</m:t>
              </m:r>
              <m:r>
                <m:t>θ</m:t>
              </m:r>
            </m:den>
          </m:f>
          <m:r>
            <m:rPr>
              <m:sty m:val="p"/>
            </m:rPr>
            <m:t>,</m:t>
          </m:r>
          <m:r>
            <m:t>  </m:t>
          </m:r>
          <m:r>
            <m:t>p</m:t>
          </m:r>
          <m:r>
            <m:rPr>
              <m:sty m:val="p"/>
            </m:rPr>
            <m:t>=</m:t>
          </m:r>
          <m:r>
            <m:t>a</m:t>
          </m:r>
          <m:d>
            <m:dPr>
              <m:begChr m:val="("/>
              <m:sepChr m:val=""/>
              <m:endChr m:val=")"/>
              <m:grow/>
            </m:dPr>
            <m:e>
              <m:r>
                <m:t>1</m:t>
              </m:r>
              <m:r>
                <m:rPr>
                  <m:sty m:val="p"/>
                </m:rPr>
                <m:t>−</m:t>
              </m:r>
              <m:sSup>
                <m:e>
                  <m:r>
                    <m:t>e</m:t>
                  </m:r>
                </m:e>
                <m:sup>
                  <m:r>
                    <m:t>2</m:t>
                  </m:r>
                </m:sup>
              </m:sSup>
            </m:e>
          </m:d>
          <m:r>
            <m:rPr>
              <m:sty m:val="p"/>
            </m:rPr>
            <m:t>,</m:t>
          </m:r>
        </m:oMath>
      </m:oMathPara>
    </w:p>
    <w:p>
      <w:pPr>
        <w:pStyle w:val="FirstParagraph"/>
      </w:pPr>
      <w:r>
        <w:t xml:space="preserve">where</w:t>
      </w:r>
      <w:r>
        <w:t xml:space="preserve"> </w:t>
      </w:r>
      <m:oMath>
        <m:r>
          <m:t>e</m:t>
        </m:r>
      </m:oMath>
      <w:r>
        <w:t xml:space="preserve"> </w:t>
      </w:r>
      <w:r>
        <w:t xml:space="preserve">is the eccentricity,</w:t>
      </w:r>
      <w:r>
        <w:t xml:space="preserve"> </w:t>
      </w:r>
      <m:oMath>
        <m:r>
          <m:t>θ</m:t>
        </m:r>
      </m:oMath>
      <w:r>
        <w:t xml:space="preserve"> </w:t>
      </w:r>
      <w:r>
        <w:t xml:space="preserve">the true anomaly measured from perigee, and</w:t>
      </w:r>
      <w:r>
        <w:t xml:space="preserve"> </w:t>
      </w:r>
      <m:oMath>
        <m:r>
          <m:t>p</m:t>
        </m:r>
      </m:oMath>
      <w:r>
        <w:t xml:space="preserve"> </w:t>
      </w:r>
      <w:r>
        <w:t xml:space="preserve">the</w:t>
      </w:r>
      <w:r>
        <w:t xml:space="preserve"> </w:t>
      </w:r>
      <w:r>
        <w:t xml:space="preserve">semi-latus rectum. Bound orbits have</w:t>
      </w:r>
      <w:r>
        <w:t xml:space="preserve"> </w:t>
      </w:r>
      <m:oMath>
        <m:r>
          <m:t>0</m:t>
        </m:r>
        <m:r>
          <m:rPr>
            <m:sty m:val="p"/>
          </m:rPr>
          <m:t>≤</m:t>
        </m:r>
        <m:r>
          <m:t>e</m:t>
        </m:r>
        <m:r>
          <m:rPr>
            <m:sty m:val="p"/>
          </m:rPr>
          <m:t>&lt;</m:t>
        </m:r>
        <m:r>
          <m:t>1</m:t>
        </m:r>
      </m:oMath>
      <w:r>
        <w:t xml:space="preserve">; the circular orbit used throughout this study is</w:t>
      </w:r>
      <w:r>
        <w:t xml:space="preserve"> </w:t>
      </w:r>
      <w:r>
        <w:t xml:space="preserve">the special case</w:t>
      </w:r>
      <w:r>
        <w:t xml:space="preserve"> </w:t>
      </w:r>
      <m:oMath>
        <m:r>
          <m:t>e</m:t>
        </m:r>
        <m:r>
          <m:rPr>
            <m:sty m:val="p"/>
          </m:rPr>
          <m:t>=</m:t>
        </m:r>
        <m:r>
          <m:t>0</m:t>
        </m:r>
      </m:oMath>
      <w:r>
        <w:t xml:space="preserve">, for which</w:t>
      </w:r>
      <w:r>
        <w:t xml:space="preserve"> </w:t>
      </w:r>
      <m:oMath>
        <m:r>
          <m:t>r</m:t>
        </m:r>
        <m:r>
          <m:rPr>
            <m:sty m:val="p"/>
          </m:rPr>
          <m:t>=</m:t>
        </m:r>
        <m:r>
          <m:t>a</m:t>
        </m:r>
      </m:oMath>
      <w:r>
        <w:t xml:space="preserve"> </w:t>
      </w:r>
      <w:r>
        <w:t xml:space="preserve">is constant and (4.1) to (4.3) follow directly.</w:t>
      </w:r>
    </w:p>
    <w:p>
      <w:pPr>
        <w:pStyle w:val="BodyText"/>
      </w:pPr>
      <w:r>
        <w:rPr>
          <w:b/>
          <w:bCs/>
        </w:rPr>
        <w:t xml:space="preserve">Kepler’s third law.</w:t>
      </w:r>
      <w:r>
        <w:t xml:space="preserve"> </w:t>
      </w:r>
      <w:r>
        <w:t xml:space="preserve">For an ellipse of semi-axes</w:t>
      </w:r>
      <w:r>
        <w:t xml:space="preserve"> </w:t>
      </w:r>
      <m:oMath>
        <m:r>
          <m:t>a</m:t>
        </m:r>
      </m:oMath>
      <w:r>
        <w:t xml:space="preserve"> </w:t>
      </w:r>
      <w:r>
        <w:t xml:space="preserve">and</w:t>
      </w:r>
      <w:r>
        <w:t xml:space="preserve"> </w:t>
      </w:r>
      <m:oMath>
        <m:r>
          <m:t>b</m:t>
        </m:r>
        <m:r>
          <m:rPr>
            <m:sty m:val="p"/>
          </m:rPr>
          <m:t>=</m:t>
        </m:r>
        <m:r>
          <m:t>a</m:t>
        </m:r>
        <m:rad>
          <m:radPr>
            <m:degHide m:val="on"/>
          </m:radPr>
          <m:deg/>
          <m:e>
            <m:r>
              <m:t>1</m:t>
            </m:r>
            <m:r>
              <m:rPr>
                <m:sty m:val="p"/>
              </m:rPr>
              <m:t>−</m:t>
            </m:r>
            <m:sSup>
              <m:e>
                <m:r>
                  <m:t>e</m:t>
                </m:r>
              </m:e>
              <m:sup>
                <m:r>
                  <m:t>2</m:t>
                </m:r>
              </m:sup>
            </m:sSup>
          </m:e>
        </m:rad>
      </m:oMath>
      <w:r>
        <w:t xml:space="preserve">, the constant</w:t>
      </w:r>
      <w:r>
        <w:t xml:space="preserve"> </w:t>
      </w:r>
      <w:r>
        <w:t xml:space="preserve">areal rate</w:t>
      </w:r>
      <w:r>
        <w:t xml:space="preserve"> </w:t>
      </w:r>
      <m:oMath>
        <m:acc>
          <m:accPr>
            <m:chr m:val="̇"/>
          </m:accPr>
          <m:e>
            <m:r>
              <m:t>A</m:t>
            </m:r>
          </m:e>
        </m:acc>
        <m:r>
          <m:rPr>
            <m:sty m:val="p"/>
          </m:rPr>
          <m:t>=</m:t>
        </m:r>
        <m:r>
          <m:t>h</m:t>
        </m:r>
        <m:r>
          <m:rPr>
            <m:sty m:val="p"/>
          </m:rPr>
          <m:t>/</m:t>
        </m:r>
        <m:r>
          <m:t>2</m:t>
        </m:r>
      </m:oMath>
      <w:r>
        <w:t xml:space="preserve"> </w:t>
      </w:r>
      <w:r>
        <w:t xml:space="preserve">integrated over the enclosed area</w:t>
      </w:r>
      <w:r>
        <w:t xml:space="preserve"> </w:t>
      </w:r>
      <m:oMath>
        <m:r>
          <m:t>π</m:t>
        </m:r>
        <m:r>
          <m:t>a</m:t>
        </m:r>
        <m:r>
          <m:t>b</m:t>
        </m:r>
      </m:oMath>
      <w:r>
        <w:t xml:space="preserve"> </w:t>
      </w:r>
      <w:r>
        <w:t xml:space="preserve">gives the period</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independent of eccentricity, which is why the circular result (4.2) applies to the slightly</w:t>
      </w:r>
      <w:r>
        <w:t xml:space="preserve"> </w:t>
      </w:r>
      <w:r>
        <w:t xml:space="preserve">non-circular reference orbit without correction.</w:t>
      </w:r>
    </w:p>
    <w:p>
      <w:pPr>
        <w:pStyle w:val="BodyText"/>
      </w:pPr>
      <w:r>
        <w:rPr>
          <w:b/>
          <w:bCs/>
        </w:rPr>
        <w:t xml:space="preserve">Ground track and revisit.</w:t>
      </w:r>
      <w:r>
        <w:t xml:space="preserve"> </w:t>
      </w:r>
      <w:r>
        <w:t xml:space="preserve">Coverage planning needs the ground track, the locus of sub-satellite</w:t>
      </w:r>
      <w:r>
        <w:t xml:space="preserve"> </w:t>
      </w:r>
      <w:r>
        <w:t xml:space="preserve">points. While the satellite completes one orbit in time</w:t>
      </w:r>
      <w:r>
        <w:t xml:space="preserve"> </w:t>
      </w:r>
      <m:oMath>
        <m:r>
          <m:t>T</m:t>
        </m:r>
      </m:oMath>
      <w:r>
        <w:t xml:space="preserve">, Earth turns beneath it at</w:t>
      </w:r>
      <w:r>
        <w:t xml:space="preserve"> </w:t>
      </w:r>
      <m:oMath>
        <m:sSub>
          <m:e>
            <m:r>
              <m:t>ω</m:t>
            </m:r>
          </m:e>
          <m:sub>
            <m:r>
              <m:rPr>
                <m:sty m:val="p"/>
              </m:rPr>
              <m:t>⊕</m:t>
            </m:r>
          </m:sub>
        </m:sSub>
        <m:r>
          <m:rPr>
            <m:sty m:val="p"/>
          </m:rPr>
          <m:t>=</m:t>
        </m:r>
        <m:r>
          <m:t>7.292</m:t>
        </m:r>
        <m:r>
          <m:rPr>
            <m:sty m:val="p"/>
          </m:rPr>
          <m:t>×</m:t>
        </m:r>
        <m:sSup>
          <m:e>
            <m:r>
              <m:t>10</m:t>
            </m:r>
          </m:e>
          <m:sup>
            <m:r>
              <m:rPr>
                <m:sty m:val="p"/>
              </m:rPr>
              <m:t>−</m:t>
            </m:r>
            <m:r>
              <m:t>5</m:t>
            </m:r>
          </m:sup>
        </m:sSup>
      </m:oMath>
      <w:r>
        <w:t xml:space="preserve"> </w:t>
      </w:r>
      <w:r>
        <w:t xml:space="preserve">rad/s, so successive equator crossings step westward by</w:t>
      </w:r>
      <w:r>
        <w:t xml:space="preserve"> </w:t>
      </w:r>
      <m:oMath>
        <m:r>
          <m:rPr>
            <m:sty m:val="p"/>
          </m:rPr>
          <m:t>Δ</m:t>
        </m:r>
        <m:r>
          <m:t>λ</m:t>
        </m:r>
        <m:r>
          <m:rPr>
            <m:sty m:val="p"/>
          </m:rPr>
          <m:t>=</m:t>
        </m:r>
        <m:sSub>
          <m:e>
            <m:r>
              <m:t>ω</m:t>
            </m:r>
          </m:e>
          <m:sub>
            <m:r>
              <m:rPr>
                <m:sty m:val="p"/>
              </m:rPr>
              <m:t>⊕</m:t>
            </m:r>
          </m:sub>
        </m:sSub>
        <m:r>
          <m:t>T</m:t>
        </m:r>
      </m:oMath>
      <w:r>
        <w:t xml:space="preserve">. A ground track repeats when an integer number of orbits</w:t>
      </w:r>
      <w:r>
        <w:t xml:space="preserve"> </w:t>
      </w:r>
      <m:oMath>
        <m:r>
          <m:t>k</m:t>
        </m:r>
      </m:oMath>
      <w:r>
        <w:t xml:space="preserve"> </w:t>
      </w:r>
      <w:r>
        <w:t xml:space="preserve">fills</w:t>
      </w:r>
      <w:r>
        <w:t xml:space="preserve"> </w:t>
      </w:r>
      <w:r>
        <w:t xml:space="preserve">an integer number</w:t>
      </w:r>
      <w:r>
        <w:t xml:space="preserve"> </w:t>
      </w:r>
      <m:oMath>
        <m:r>
          <m:t>d</m:t>
        </m:r>
      </m:oMath>
      <w:r>
        <w:t xml:space="preserve"> </w:t>
      </w:r>
      <w:r>
        <w:t xml:space="preserve">of nodal days,</w:t>
      </w:r>
      <w:r>
        <w:t xml:space="preserve"> </w:t>
      </w:r>
      <m:oMath>
        <m:r>
          <m:t>k</m:t>
        </m:r>
        <m:r>
          <m:t> </m:t>
        </m:r>
        <m:r>
          <m:t>T</m:t>
        </m:r>
        <m:r>
          <m:rPr>
            <m:sty m:val="p"/>
          </m:rPr>
          <m:t>=</m:t>
        </m:r>
        <m:r>
          <m:t>d</m:t>
        </m:r>
        <m:r>
          <m:t> </m:t>
        </m:r>
        <m:r>
          <m:rPr>
            <m:sty m:val="p"/>
          </m:rPr>
          <m:t>(</m:t>
        </m:r>
        <m:r>
          <m:t>2</m:t>
        </m:r>
        <m:r>
          <m:t>π</m:t>
        </m:r>
        <m:r>
          <m:rPr>
            <m:sty m:val="p"/>
          </m:rPr>
          <m:t>/</m:t>
        </m:r>
        <m:sSub>
          <m:e>
            <m:r>
              <m:t>ω</m:t>
            </m:r>
          </m:e>
          <m:sub>
            <m:r>
              <m:rPr>
                <m:sty m:val="p"/>
              </m:rPr>
              <m:t>⊕</m:t>
            </m:r>
          </m:sub>
        </m:sSub>
        <m:r>
          <m:rPr>
            <m:sty m:val="p"/>
          </m:rPr>
          <m:t>)</m:t>
        </m:r>
      </m:oMath>
      <w:r>
        <w:t xml:space="preserve">; for the reference orbit</w:t>
      </w:r>
      <w:r>
        <w:t xml:space="preserve"> </w:t>
      </w:r>
      <m:oMath>
        <m:r>
          <m:rPr>
            <m:sty m:val="p"/>
          </m:rPr>
          <m:t>Δ</m:t>
        </m:r>
        <m:r>
          <m:t>λ</m:t>
        </m:r>
        <m:r>
          <m:rPr>
            <m:sty m:val="p"/>
          </m:rPr>
          <m:t>≈</m:t>
        </m:r>
        <m:sSup>
          <m:e>
            <m:r>
              <m:t>24.4</m:t>
            </m:r>
          </m:e>
          <m:sup>
            <m:r>
              <m:rPr>
                <m:sty m:val="p"/>
              </m:rPr>
              <m:t>∘</m:t>
            </m:r>
          </m:sup>
        </m:sSup>
      </m:oMath>
      <w:r>
        <w:t xml:space="preserve"> </w:t>
      </w:r>
      <w:r>
        <w:t xml:space="preserve">per revolution, and the near-15-orbit day sets the natural revisit</w:t>
      </w:r>
      <w:r>
        <w:t xml:space="preserve"> </w:t>
      </w:r>
      <w:r>
        <w:t xml:space="preserve">cadence over a given ground station (Chapter 14).</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25"/>
    <w:bookmarkStart w:id="29"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CaptionedFigure"/>
      </w:pPr>
      <w:r>
        <w:drawing>
          <wp:inline>
            <wp:extent cx="5334000" cy="2370666"/>
            <wp:effectExtent b="0" l="0" r="0" t="0"/>
            <wp:docPr descr="The dawn-dusk sun-synchronous orbit, with the orbital plane held on the day-night terminator so the satellite stays sunlit." title="" id="27" name="Picture"/>
            <a:graphic>
              <a:graphicData uri="http://schemas.openxmlformats.org/drawingml/2006/picture">
                <pic:pic>
                  <pic:nvPicPr>
                    <pic:cNvPr descr="schematics/diagram_orbit.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The dawn-dusk sun-synchronous orbit, with the orbital plane held on the day-night terminator so the satellite stays sunlit.</w:t>
      </w:r>
    </w:p>
    <w:p>
      <w:pPr>
        <w:pStyle w:val="BodyText"/>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f>
                <m:fPr>
                  <m:type m:val="bar"/>
                </m:fPr>
                <m:num>
                  <m:r>
                    <m:t>3</m:t>
                  </m:r>
                </m:num>
                <m:den>
                  <m:r>
                    <m:t>2</m:t>
                  </m:r>
                </m:den>
              </m:f>
              <m:sSup>
                <m:e>
                  <m:r>
                    <m:rPr>
                      <m:sty m:val="p"/>
                    </m:rPr>
                    <m:t>sin</m:t>
                  </m:r>
                </m:e>
                <m:sup>
                  <m:r>
                    <m:t>2</m:t>
                  </m:r>
                </m:sup>
              </m:sSup>
              <m:r>
                <m:t>i</m:t>
              </m:r>
              <m:r>
                <m:rPr>
                  <m:sty m:val="p"/>
                </m:rPr>
                <m:t>−</m:t>
              </m:r>
              <m:r>
                <m:t>1</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bookmarkEnd w:id="29"/>
    <w:bookmarkStart w:id="36"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CaptionedFigure"/>
      </w:pPr>
      <w:r>
        <w:drawing>
          <wp:inline>
            <wp:extent cx="5334000" cy="2222500"/>
            <wp:effectExtent b="0" l="0" r="0" t="0"/>
            <wp:docPr descr="The beta angle between the orbit plane and the Sun line, set against Earth’s shadow; a high beta keeps the orbit out of eclipse." title="" id="31" name="Picture"/>
            <a:graphic>
              <a:graphicData uri="http://schemas.openxmlformats.org/drawingml/2006/picture">
                <pic:pic>
                  <pic:nvPicPr>
                    <pic:cNvPr descr="schematics/diagram_beta.png" id="32" name="Picture"/>
                    <pic:cNvPicPr>
                      <a:picLocks noChangeArrowheads="1" noChangeAspect="1"/>
                    </pic:cNvPicPr>
                  </pic:nvPicPr>
                  <pic:blipFill>
                    <a:blip r:embed="rId30"/>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The beta angle between the orbit plane and the Sun line, set against Earth’s shadow; a high beta keeps the orbit out of eclipse.</w:t>
      </w:r>
    </w:p>
    <w:p>
      <w:pPr>
        <w:pStyle w:val="BodyText"/>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34" name="Picture"/>
            <a:graphic>
              <a:graphicData uri="http://schemas.openxmlformats.org/drawingml/2006/picture">
                <pic:pic>
                  <pic:nvPicPr>
                    <pic:cNvPr descr="figures2/figA1_eclipse.png" id="35" name="Picture"/>
                    <pic:cNvPicPr>
                      <a:picLocks noChangeArrowheads="1" noChangeAspect="1"/>
                    </pic:cNvPicPr>
                  </pic:nvPicPr>
                  <pic:blipFill>
                    <a:blip r:embed="rId33"/>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bookmarkEnd w:id="36"/>
    <w:bookmarkStart w:id="40"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FirstParagraph"/>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38" name="Picture"/>
            <a:graphic>
              <a:graphicData uri="http://schemas.openxmlformats.org/drawingml/2006/picture">
                <pic:pic>
                  <pic:nvPicPr>
                    <pic:cNvPr descr="figures/fig1_orbital_decay.png" id="39" name="Picture"/>
                    <pic:cNvPicPr>
                      <a:picLocks noChangeArrowheads="1" noChangeAspect="1"/>
                    </pic:cNvPicPr>
                  </pic:nvPicPr>
                  <pic:blipFill>
                    <a:blip r:embed="rId37"/>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bookmarkEnd w:id="40"/>
    <w:bookmarkStart w:id="47"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CaptionedFigure"/>
      </w:pPr>
      <w:r>
        <w:drawing>
          <wp:inline>
            <wp:extent cx="5334000" cy="1629833"/>
            <wp:effectExtent b="0" l="0" r="0" t="0"/>
            <wp:docPr descr="Radiation shielding and single-event upsets: aluminium attenuates the accumulated dose, while error correction and checkpointing handle upsets." title="" id="42" name="Picture"/>
            <a:graphic>
              <a:graphicData uri="http://schemas.openxmlformats.org/drawingml/2006/picture">
                <pic:pic>
                  <pic:nvPicPr>
                    <pic:cNvPr descr="schematics/diagram_shield.png" id="43" name="Picture"/>
                    <pic:cNvPicPr>
                      <a:picLocks noChangeArrowheads="1" noChangeAspect="1"/>
                    </pic:cNvPicPr>
                  </pic:nvPicPr>
                  <pic:blipFill>
                    <a:blip r:embed="rId41"/>
                    <a:stretch>
                      <a:fillRect/>
                    </a:stretch>
                  </pic:blipFill>
                  <pic:spPr bwMode="auto">
                    <a:xfrm>
                      <a:off x="0" y="0"/>
                      <a:ext cx="5334000" cy="1629833"/>
                    </a:xfrm>
                    <a:prstGeom prst="rect">
                      <a:avLst/>
                    </a:prstGeom>
                    <a:noFill/>
                    <a:ln w="9525">
                      <a:noFill/>
                      <a:headEnd/>
                      <a:tailEnd/>
                    </a:ln>
                  </pic:spPr>
                </pic:pic>
              </a:graphicData>
            </a:graphic>
          </wp:inline>
        </w:drawing>
      </w:r>
    </w:p>
    <w:p>
      <w:pPr>
        <w:pStyle w:val="ImageCaption"/>
      </w:pPr>
      <w:r>
        <w:t xml:space="preserve">Radiation shielding and single-event upsets: aluminium attenuates the accumulated dose, while error correction and checkpointing handle upsets.</w:t>
      </w:r>
    </w:p>
    <w:p>
      <w:pPr>
        <w:pStyle w:val="BodyText"/>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three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45" name="Picture"/>
            <a:graphic>
              <a:graphicData uri="http://schemas.openxmlformats.org/drawingml/2006/picture">
                <pic:pic>
                  <pic:nvPicPr>
                    <pic:cNvPr descr="figures2/figA5_dose.png" id="46" name="Picture"/>
                    <pic:cNvPicPr>
                      <a:picLocks noChangeArrowheads="1" noChangeAspect="1"/>
                    </pic:cNvPicPr>
                  </pic:nvPicPr>
                  <pic:blipFill>
                    <a:blip r:embed="rId44"/>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bookmarkEnd w:id="47"/>
    <w:bookmarkStart w:id="51"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CaptionedFigure"/>
      </w:pPr>
      <w:r>
        <w:drawing>
          <wp:inline>
            <wp:extent cx="5334000" cy="2148416"/>
            <wp:effectExtent b="0" l="0" r="0" t="0"/>
            <wp:docPr descr="The formation paradox: one fragmentation sprays debris into the volume the neighbours occupy, with the neighbour-hit probability scaling as one over spacing squared." title="" id="49" name="Picture"/>
            <a:graphic>
              <a:graphicData uri="http://schemas.openxmlformats.org/drawingml/2006/picture">
                <pic:pic>
                  <pic:nvPicPr>
                    <pic:cNvPr descr="schematics/diagram_formation.png" id="50" name="Picture"/>
                    <pic:cNvPicPr>
                      <a:picLocks noChangeArrowheads="1" noChangeAspect="1"/>
                    </pic:cNvPicPr>
                  </pic:nvPicPr>
                  <pic:blipFill>
                    <a:blip r:embed="rId48"/>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The formation paradox: one fragmentation sprays debris into the volume the neighbours occupy, with the neighbour-hit probability scaling as one over spacing squared.</w:t>
      </w:r>
    </w:p>
    <w:p>
      <w:pPr>
        <w:pStyle w:val="BodyText"/>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bookmarkEnd w:id="51"/>
    <w:bookmarkEnd w:id="52"/>
    <w:bookmarkStart w:id="106" w:name="part-iii-spacecraft-subsystems"/>
    <w:p>
      <w:pPr>
        <w:pStyle w:val="Heading1"/>
      </w:pPr>
      <w:r>
        <w:t xml:space="preserve">PART III, SPACECRAFT SUBSYSTEMS</w:t>
      </w:r>
    </w:p>
    <w:bookmarkStart w:id="65"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CaptionedFigure"/>
      </w:pPr>
      <w:r>
        <w:drawing>
          <wp:inline>
            <wp:extent cx="5334000" cy="1333500"/>
            <wp:effectExtent b="0" l="0" r="0" t="0"/>
            <wp:docPr descr="The passive conduction path from the junction to the radiator, dominated by the junction-to-case resistance." title="" id="54" name="Picture"/>
            <a:graphic>
              <a:graphicData uri="http://schemas.openxmlformats.org/drawingml/2006/picture">
                <pic:pic>
                  <pic:nvPicPr>
                    <pic:cNvPr descr="schematics/diagram_thermal.png" id="55" name="Picture"/>
                    <pic:cNvPicPr>
                      <a:picLocks noChangeArrowheads="1" noChangeAspect="1"/>
                    </pic:cNvPicPr>
                  </pic:nvPicPr>
                  <pic:blipFill>
                    <a:blip r:embed="rId53"/>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The passive conduction path from the junction to the radiator, dominated by the junction-to-case resistance.</w:t>
      </w:r>
    </w:p>
    <w:p>
      <w:pPr>
        <w:pStyle w:val="BodyText"/>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matches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57" name="Picture"/>
            <a:graphic>
              <a:graphicData uri="http://schemas.openxmlformats.org/drawingml/2006/picture">
                <pic:pic>
                  <pic:nvPicPr>
                    <pic:cNvPr descr="figures2/figA3_radiator.png" id="58" name="Picture"/>
                    <pic:cNvPicPr>
                      <a:picLocks noChangeArrowheads="1" noChangeAspect="1"/>
                    </pic:cNvPicPr>
                  </pic:nvPicPr>
                  <pic:blipFill>
                    <a:blip r:embed="rId56"/>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251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60" name="Picture"/>
            <a:graphic>
              <a:graphicData uri="http://schemas.openxmlformats.org/drawingml/2006/picture">
                <pic:pic>
                  <pic:nvPicPr>
                    <pic:cNvPr descr="figures2/figA2_loads.png" id="61" name="Picture"/>
                    <pic:cNvPicPr>
                      <a:picLocks noChangeArrowheads="1" noChangeAspect="1"/>
                    </pic:cNvPicPr>
                  </pic:nvPicPr>
                  <pic:blipFill>
                    <a:blip r:embed="rId59"/>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63" name="Picture"/>
            <a:graphic>
              <a:graphicData uri="http://schemas.openxmlformats.org/drawingml/2006/picture">
                <pic:pic>
                  <pic:nvPicPr>
                    <pic:cNvPr descr="figures/fig2_thermal_wall.png" id="64" name="Picture"/>
                    <pic:cNvPicPr>
                      <a:picLocks noChangeArrowheads="1" noChangeAspect="1"/>
                    </pic:cNvPicPr>
                  </pic:nvPicPr>
                  <pic:blipFill>
                    <a:blip r:embed="rId62"/>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bookmarkEnd w:id="65"/>
    <w:bookmarkStart w:id="69"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FirstParagraph"/>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67" name="Picture"/>
            <a:graphic>
              <a:graphicData uri="http://schemas.openxmlformats.org/drawingml/2006/picture">
                <pic:pic>
                  <pic:nvPicPr>
                    <pic:cNvPr descr="systems_figs/fig_power.png" id="68" name="Picture"/>
                    <pic:cNvPicPr>
                      <a:picLocks noChangeArrowheads="1" noChangeAspect="1"/>
                    </pic:cNvPicPr>
                  </pic:nvPicPr>
                  <pic:blipFill>
                    <a:blip r:embed="rId66"/>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bookmarkEnd w:id="69"/>
    <w:bookmarkStart w:id="73"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71" name="Picture"/>
            <a:graphic>
              <a:graphicData uri="http://schemas.openxmlformats.org/drawingml/2006/picture">
                <pic:pic>
                  <pic:nvPicPr>
                    <pic:cNvPr descr="figures2/figA8_mass.png" id="72" name="Picture"/>
                    <pic:cNvPicPr>
                      <a:picLocks noChangeArrowheads="1" noChangeAspect="1"/>
                    </pic:cNvPicPr>
                  </pic:nvPicPr>
                  <pic:blipFill>
                    <a:blip r:embed="rId70"/>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bookmarkEnd w:id="73"/>
    <w:bookmarkStart w:id="77"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CaptionedFigure"/>
      </w:pPr>
      <w:r>
        <w:drawing>
          <wp:inline>
            <wp:extent cx="5334000" cy="1697181"/>
            <wp:effectExtent b="0" l="0" r="0" t="0"/>
            <wp:docPr descr="Coarse body pointing combined with a fast-steering mirror, which supplies the sub-microradian correction the optical link requires." title="" id="75" name="Picture"/>
            <a:graphic>
              <a:graphicData uri="http://schemas.openxmlformats.org/drawingml/2006/picture">
                <pic:pic>
                  <pic:nvPicPr>
                    <pic:cNvPr descr="schematics/diagram_pointing.png" id="76" name="Picture"/>
                    <pic:cNvPicPr>
                      <a:picLocks noChangeArrowheads="1" noChangeAspect="1"/>
                    </pic:cNvPicPr>
                  </pic:nvPicPr>
                  <pic:blipFill>
                    <a:blip r:embed="rId74"/>
                    <a:stretch>
                      <a:fillRect/>
                    </a:stretch>
                  </pic:blipFill>
                  <pic:spPr bwMode="auto">
                    <a:xfrm>
                      <a:off x="0" y="0"/>
                      <a:ext cx="5334000" cy="1697181"/>
                    </a:xfrm>
                    <a:prstGeom prst="rect">
                      <a:avLst/>
                    </a:prstGeom>
                    <a:noFill/>
                    <a:ln w="9525">
                      <a:noFill/>
                      <a:headEnd/>
                      <a:tailEnd/>
                    </a:ln>
                  </pic:spPr>
                </pic:pic>
              </a:graphicData>
            </a:graphic>
          </wp:inline>
        </w:drawing>
      </w:r>
    </w:p>
    <w:p>
      <w:pPr>
        <w:pStyle w:val="ImageCaption"/>
      </w:pPr>
      <w:r>
        <w:t xml:space="preserve">Coarse body pointing combined with a fast-steering mirror, which supplies the sub-microradian correction the optical link requires.</w:t>
      </w:r>
    </w:p>
    <w:p>
      <w:pPr>
        <w:pStyle w:val="BodyText"/>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bookmarkEnd w:id="77"/>
    <w:bookmarkStart w:id="87"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CaptionedFigure"/>
      </w:pPr>
      <w:r>
        <w:drawing>
          <wp:inline>
            <wp:extent cx="5334000" cy="1852083"/>
            <wp:effectExtent b="0" l="0" r="0" t="0"/>
            <wp:docPr descr="Optical-beam divergence: the fraction of light captured by the receiver falls as one over range squared, which forces close spacing." title="" id="79" name="Picture"/>
            <a:graphic>
              <a:graphicData uri="http://schemas.openxmlformats.org/drawingml/2006/picture">
                <pic:pic>
                  <pic:nvPicPr>
                    <pic:cNvPr descr="schematics/diagram_link.png" id="80" name="Picture"/>
                    <pic:cNvPicPr>
                      <a:picLocks noChangeArrowheads="1" noChangeAspect="1"/>
                    </pic:cNvPicPr>
                  </pic:nvPicPr>
                  <pic:blipFill>
                    <a:blip r:embed="rId78"/>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Optical-beam divergence: the fraction of light captured by the receiver falls as one over range squared, which forces close spacing.</w:t>
      </w:r>
    </w:p>
    <w:p>
      <w:pPr>
        <w:pStyle w:val="BodyText"/>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82" name="Picture"/>
            <a:graphic>
              <a:graphicData uri="http://schemas.openxmlformats.org/drawingml/2006/picture">
                <pic:pic>
                  <pic:nvPicPr>
                    <pic:cNvPr descr="figures2/figA4_link.png" id="83" name="Picture"/>
                    <pic:cNvPicPr>
                      <a:picLocks noChangeArrowheads="1" noChangeAspect="1"/>
                    </pic:cNvPicPr>
                  </pic:nvPicPr>
                  <pic:blipFill>
                    <a:blip r:embed="rId81"/>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85" name="Picture"/>
            <a:graphic>
              <a:graphicData uri="http://schemas.openxmlformats.org/drawingml/2006/picture">
                <pic:pic>
                  <pic:nvPicPr>
                    <pic:cNvPr descr="systems_figs/fig_comms.png" id="86" name="Picture"/>
                    <pic:cNvPicPr>
                      <a:picLocks noChangeArrowheads="1" noChangeAspect="1"/>
                    </pic:cNvPicPr>
                  </pic:nvPicPr>
                  <pic:blipFill>
                    <a:blip r:embed="rId84"/>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bookmarkEnd w:id="87"/>
    <w:bookmarkStart w:id="94"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CaptionedFigure"/>
      </w:pPr>
      <w:r>
        <w:drawing>
          <wp:inline>
            <wp:extent cx="5334000" cy="3484880"/>
            <wp:effectExtent b="0" l="0" r="0" t="0"/>
            <wp:docPr descr="Controlled de-orbit: a retrograde burn drops the far side of the orbit onto an atmosphere-grazing transfer ellipse." title="" id="89" name="Picture"/>
            <a:graphic>
              <a:graphicData uri="http://schemas.openxmlformats.org/drawingml/2006/picture">
                <pic:pic>
                  <pic:nvPicPr>
                    <pic:cNvPr descr="schematics/diagram_hohmann.png" id="90" name="Picture"/>
                    <pic:cNvPicPr>
                      <a:picLocks noChangeArrowheads="1" noChangeAspect="1"/>
                    </pic:cNvPicPr>
                  </pic:nvPicPr>
                  <pic:blipFill>
                    <a:blip r:embed="rId88"/>
                    <a:stretch>
                      <a:fillRect/>
                    </a:stretch>
                  </pic:blipFill>
                  <pic:spPr bwMode="auto">
                    <a:xfrm>
                      <a:off x="0" y="0"/>
                      <a:ext cx="5334000" cy="3484880"/>
                    </a:xfrm>
                    <a:prstGeom prst="rect">
                      <a:avLst/>
                    </a:prstGeom>
                    <a:noFill/>
                    <a:ln w="9525">
                      <a:noFill/>
                      <a:headEnd/>
                      <a:tailEnd/>
                    </a:ln>
                  </pic:spPr>
                </pic:pic>
              </a:graphicData>
            </a:graphic>
          </wp:inline>
        </w:drawing>
      </w:r>
    </w:p>
    <w:p>
      <w:pPr>
        <w:pStyle w:val="ImageCaption"/>
      </w:pPr>
      <w:r>
        <w:t xml:space="preserve">Controlled de-orbit: a retrograde burn drops the far side of the orbit onto an atmosphere-grazing transfer ellipse.</w:t>
      </w:r>
    </w:p>
    <w:p>
      <w:pPr>
        <w:pStyle w:val="BodyText"/>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92" name="Picture"/>
            <a:graphic>
              <a:graphicData uri="http://schemas.openxmlformats.org/drawingml/2006/picture">
                <pic:pic>
                  <pic:nvPicPr>
                    <pic:cNvPr descr="figures/fig5_deltav.png" id="93" name="Picture"/>
                    <pic:cNvPicPr>
                      <a:picLocks noChangeArrowheads="1" noChangeAspect="1"/>
                    </pic:cNvPicPr>
                  </pic:nvPicPr>
                  <pic:blipFill>
                    <a:blip r:embed="rId91"/>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bookmarkEnd w:id="94"/>
    <w:bookmarkStart w:id="98"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FirstParagraph"/>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96" name="Picture"/>
            <a:graphic>
              <a:graphicData uri="http://schemas.openxmlformats.org/drawingml/2006/picture">
                <pic:pic>
                  <pic:nvPicPr>
                    <pic:cNvPr descr="systems_figs/fig_reliability.png" id="97" name="Picture"/>
                    <pic:cNvPicPr>
                      <a:picLocks noChangeArrowheads="1" noChangeAspect="1"/>
                    </pic:cNvPicPr>
                  </pic:nvPicPr>
                  <pic:blipFill>
                    <a:blip r:embed="rId95"/>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bookmarkEnd w:id="98"/>
    <w:bookmarkStart w:id="105"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CaptionedFigure"/>
      </w:pPr>
      <w:r>
        <w:drawing>
          <wp:inline>
            <wp:extent cx="5334000" cy="1718733"/>
            <wp:effectExtent b="0" l="0" r="0" t="0"/>
            <wp:docPr descr="Delivered compute as a fraction of the headline peak, after real utilization and the radiation tax." title="" id="100" name="Picture"/>
            <a:graphic>
              <a:graphicData uri="http://schemas.openxmlformats.org/drawingml/2006/picture">
                <pic:pic>
                  <pic:nvPicPr>
                    <pic:cNvPr descr="schematics/diagram_compute.png" id="101" name="Picture"/>
                    <pic:cNvPicPr>
                      <a:picLocks noChangeArrowheads="1" noChangeAspect="1"/>
                    </pic:cNvPicPr>
                  </pic:nvPicPr>
                  <pic:blipFill>
                    <a:blip r:embed="rId99"/>
                    <a:stretch>
                      <a:fillRect/>
                    </a:stretch>
                  </pic:blipFill>
                  <pic:spPr bwMode="auto">
                    <a:xfrm>
                      <a:off x="0" y="0"/>
                      <a:ext cx="5334000" cy="1718733"/>
                    </a:xfrm>
                    <a:prstGeom prst="rect">
                      <a:avLst/>
                    </a:prstGeom>
                    <a:noFill/>
                    <a:ln w="9525">
                      <a:noFill/>
                      <a:headEnd/>
                      <a:tailEnd/>
                    </a:ln>
                  </pic:spPr>
                </pic:pic>
              </a:graphicData>
            </a:graphic>
          </wp:inline>
        </w:drawing>
      </w:r>
    </w:p>
    <w:p>
      <w:pPr>
        <w:pStyle w:val="ImageCaption"/>
      </w:pPr>
      <w:r>
        <w:t xml:space="preserve">Delivered compute as a fraction of the headline peak, after real utilization and the radiation tax.</w:t>
      </w:r>
    </w:p>
    <w:p>
      <w:pPr>
        <w:pStyle w:val="BodyText"/>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103" name="Picture"/>
            <a:graphic>
              <a:graphicData uri="http://schemas.openxmlformats.org/drawingml/2006/picture">
                <pic:pic>
                  <pic:nvPicPr>
                    <pic:cNvPr descr="systems_figs/fig_new_subsystems.png" id="104" name="Picture"/>
                    <pic:cNvPicPr>
                      <a:picLocks noChangeArrowheads="1" noChangeAspect="1"/>
                    </pic:cNvPicPr>
                  </pic:nvPicPr>
                  <pic:blipFill>
                    <a:blip r:embed="rId102"/>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bookmarkEnd w:id="105"/>
    <w:bookmarkEnd w:id="106"/>
    <w:bookmarkStart w:id="123" w:name="Xe5ea88703363ae012ea2f87a0aad981517e6b12"/>
    <w:p>
      <w:pPr>
        <w:pStyle w:val="Heading1"/>
      </w:pPr>
      <w:r>
        <w:t xml:space="preserve">PART IV, INTEGRATION, SIMULATION, AND RESULTS</w:t>
      </w:r>
    </w:p>
    <w:bookmarkStart w:id="110"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FirstParagraph"/>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108" name="Picture"/>
            <a:graphic>
              <a:graphicData uri="http://schemas.openxmlformats.org/drawingml/2006/picture">
                <pic:pic>
                  <pic:nvPicPr>
                    <pic:cNvPr descr="systems_figs/fig_mass_budget.png" id="109" name="Picture"/>
                    <pic:cNvPicPr>
                      <a:picLocks noChangeArrowheads="1" noChangeAspect="1"/>
                    </pic:cNvPicPr>
                  </pic:nvPicPr>
                  <pic:blipFill>
                    <a:blip r:embed="rId107"/>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bookmarkEnd w:id="110"/>
    <w:bookmarkStart w:id="111"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bookmarkEnd w:id="111"/>
    <w:bookmarkStart w:id="115"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113" name="Picture"/>
            <a:graphic>
              <a:graphicData uri="http://schemas.openxmlformats.org/drawingml/2006/picture">
                <pic:pic>
                  <pic:nvPicPr>
                    <pic:cNvPr descr="systems_figs/fig_montecarlo.png" id="114" name="Picture"/>
                    <pic:cNvPicPr>
                      <a:picLocks noChangeArrowheads="1" noChangeAspect="1"/>
                    </pic:cNvPicPr>
                  </pic:nvPicPr>
                  <pic:blipFill>
                    <a:blip r:embed="rId112"/>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bookmarkEnd w:id="115"/>
    <w:bookmarkStart w:id="122"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117" name="Picture"/>
            <a:graphic>
              <a:graphicData uri="http://schemas.openxmlformats.org/drawingml/2006/picture">
                <pic:pic>
                  <pic:nvPicPr>
                    <pic:cNvPr descr="figures/fig3_debris_risk.png" id="118" name="Picture"/>
                    <pic:cNvPicPr>
                      <a:picLocks noChangeArrowheads="1" noChangeAspect="1"/>
                    </pic:cNvPicPr>
                  </pic:nvPicPr>
                  <pic:blipFill>
                    <a:blip r:embed="rId116"/>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120" name="Picture"/>
            <a:graphic>
              <a:graphicData uri="http://schemas.openxmlformats.org/drawingml/2006/picture">
                <pic:pic>
                  <pic:nvPicPr>
                    <pic:cNvPr descr="figures/fig4_radiation.png" id="121" name="Picture"/>
                    <pic:cNvPicPr>
                      <a:picLocks noChangeArrowheads="1" noChangeAspect="1"/>
                    </pic:cNvPicPr>
                  </pic:nvPicPr>
                  <pic:blipFill>
                    <a:blip r:embed="rId119"/>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bookmarkEnd w:id="122"/>
    <w:bookmarkEnd w:id="123"/>
    <w:bookmarkStart w:id="142" w:name="part-v-economics-and-predictions"/>
    <w:p>
      <w:pPr>
        <w:pStyle w:val="Heading1"/>
      </w:pPr>
      <w:r>
        <w:t xml:space="preserve">PART V, ECONOMICS AND PREDICTIONS</w:t>
      </w:r>
    </w:p>
    <w:bookmarkStart w:id="130"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125" name="Picture"/>
            <a:graphic>
              <a:graphicData uri="http://schemas.openxmlformats.org/drawingml/2006/picture">
                <pic:pic>
                  <pic:nvPicPr>
                    <pic:cNvPr descr="figures2/figA7_lcoe.png" id="126" name="Picture"/>
                    <pic:cNvPicPr>
                      <a:picLocks noChangeArrowheads="1" noChangeAspect="1"/>
                    </pic:cNvPicPr>
                  </pic:nvPicPr>
                  <pic:blipFill>
                    <a:blip r:embed="rId12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128" name="Picture"/>
            <a:graphic>
              <a:graphicData uri="http://schemas.openxmlformats.org/drawingml/2006/picture">
                <pic:pic>
                  <pic:nvPicPr>
                    <pic:cNvPr descr="systems_figs/fig_compute.png" id="129" name="Picture"/>
                    <pic:cNvPicPr>
                      <a:picLocks noChangeArrowheads="1" noChangeAspect="1"/>
                    </pic:cNvPicPr>
                  </pic:nvPicPr>
                  <pic:blipFill>
                    <a:blip r:embed="rId127"/>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bookmarkEnd w:id="130"/>
    <w:bookmarkStart w:id="137"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32" name="Picture"/>
            <a:graphic>
              <a:graphicData uri="http://schemas.openxmlformats.org/drawingml/2006/picture">
                <pic:pic>
                  <pic:nvPicPr>
                    <pic:cNvPr descr="figures/fig6_launch_cost.png" id="133" name="Picture"/>
                    <pic:cNvPicPr>
                      <a:picLocks noChangeArrowheads="1" noChangeAspect="1"/>
                    </pic:cNvPicPr>
                  </pic:nvPicPr>
                  <pic:blipFill>
                    <a:blip r:embed="rId131"/>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35" name="Picture"/>
            <a:graphic>
              <a:graphicData uri="http://schemas.openxmlformats.org/drawingml/2006/picture">
                <pic:pic>
                  <pic:nvPicPr>
                    <pic:cNvPr descr="figures_pred/fig_cost_parity.png" id="136" name="Picture"/>
                    <pic:cNvPicPr>
                      <a:picLocks noChangeArrowheads="1" noChangeAspect="1"/>
                    </pic:cNvPicPr>
                  </pic:nvPicPr>
                  <pic:blipFill>
                    <a:blip r:embed="rId134"/>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bookmarkEnd w:id="137"/>
    <w:bookmarkStart w:id="141"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CaptionedFigure"/>
      </w:pPr>
      <w:r>
        <w:drawing>
          <wp:inline>
            <wp:extent cx="5334000" cy="2788227"/>
            <wp:effectExtent b="0" l="0" r="0" t="0"/>
            <wp:docPr descr="Technology-readiness ladder: the components sit mid-scale, while system integration sits near the bottom." title="" id="139" name="Picture"/>
            <a:graphic>
              <a:graphicData uri="http://schemas.openxmlformats.org/drawingml/2006/picture">
                <pic:pic>
                  <pic:nvPicPr>
                    <pic:cNvPr descr="schematics/diagram_trl.png" id="140" name="Picture"/>
                    <pic:cNvPicPr>
                      <a:picLocks noChangeArrowheads="1" noChangeAspect="1"/>
                    </pic:cNvPicPr>
                  </pic:nvPicPr>
                  <pic:blipFill>
                    <a:blip r:embed="rId138"/>
                    <a:stretch>
                      <a:fillRect/>
                    </a:stretch>
                  </pic:blipFill>
                  <pic:spPr bwMode="auto">
                    <a:xfrm>
                      <a:off x="0" y="0"/>
                      <a:ext cx="5334000" cy="2788227"/>
                    </a:xfrm>
                    <a:prstGeom prst="rect">
                      <a:avLst/>
                    </a:prstGeom>
                    <a:noFill/>
                    <a:ln w="9525">
                      <a:noFill/>
                      <a:headEnd/>
                      <a:tailEnd/>
                    </a:ln>
                  </pic:spPr>
                </pic:pic>
              </a:graphicData>
            </a:graphic>
          </wp:inline>
        </w:drawing>
      </w:r>
    </w:p>
    <w:p>
      <w:pPr>
        <w:pStyle w:val="ImageCaption"/>
      </w:pPr>
      <w:r>
        <w:t xml:space="preserve">Technology-readiness ladder: the components sit mid-scale, while system integration sits near the bottom.</w:t>
      </w:r>
    </w:p>
    <w:p>
      <w:pPr>
        <w:pStyle w:val="BodyText"/>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bookmarkEnd w:id="141"/>
    <w:bookmarkEnd w:id="142"/>
    <w:bookmarkStart w:id="148" w:name="part-vi-synthesis"/>
    <w:p>
      <w:pPr>
        <w:pStyle w:val="Heading1"/>
      </w:pPr>
      <w:r>
        <w:t xml:space="preserve">PART VI, SYNTHESIS</w:t>
      </w:r>
    </w:p>
    <w:bookmarkStart w:id="143"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bookmarkEnd w:id="143"/>
    <w:bookmarkStart w:id="147"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45" name="Picture"/>
            <a:graphic>
              <a:graphicData uri="http://schemas.openxmlformats.org/drawingml/2006/picture">
                <pic:pic>
                  <pic:nvPicPr>
                    <pic:cNvPr descr="figures/fig7_risk_matrix.png" id="146" name="Picture"/>
                    <pic:cNvPicPr>
                      <a:picLocks noChangeArrowheads="1" noChangeAspect="1"/>
                    </pic:cNvPicPr>
                  </pic:nvPicPr>
                  <pic:blipFill>
                    <a:blip r:embed="rId144"/>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bookmarkEnd w:id="147"/>
    <w:bookmarkEnd w:id="148"/>
    <w:bookmarkStart w:id="153" w:name="X2849ac850b034a4af8859258c8c59481bcc0a0d"/>
    <w:p>
      <w:pPr>
        <w:pStyle w:val="Heading1"/>
      </w:pPr>
      <w:r>
        <w:t xml:space="preserve">PART VII, DETAILED RESULTS, DATA, AND WORKED COMPUTATIONS</w:t>
      </w:r>
    </w:p>
    <w:bookmarkStart w:id="149"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bookmarkEnd w:id="149"/>
    <w:bookmarkStart w:id="150"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50"/>
    <w:bookmarkStart w:id="151"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FirstParagraph"/>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bookmarkEnd w:id="151"/>
    <w:bookmarkStart w:id="152"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bookmarkEnd w:id="152"/>
    <w:bookmarkEnd w:id="153"/>
    <w:bookmarkStart w:id="168" w:name="back-matter"/>
    <w:p>
      <w:pPr>
        <w:pStyle w:val="Heading1"/>
      </w:pPr>
      <w:r>
        <w:t xml:space="preserve">Back matter</w:t>
      </w:r>
    </w:p>
    <w:bookmarkStart w:id="154"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54"/>
    <w:bookmarkStart w:id="155"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55"/>
    <w:bookmarkStart w:id="156"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56"/>
    <w:bookmarkStart w:id="157"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57"/>
    <w:bookmarkStart w:id="158"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58"/>
    <w:bookmarkStart w:id="167"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59"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59"/>
    <w:bookmarkStart w:id="160"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60"/>
    <w:bookmarkStart w:id="161"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61"/>
    <w:bookmarkStart w:id="162"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62"/>
    <w:bookmarkStart w:id="163"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63"/>
    <w:bookmarkStart w:id="164"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64"/>
    <w:bookmarkStart w:id="165"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65"/>
    <w:bookmarkStart w:id="166"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144" Target="media/rId144.png" /><Relationship Type="http://schemas.openxmlformats.org/officeDocument/2006/relationships/image" Id="rId33" Target="media/rId3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70" Target="media/rId70.png" /><Relationship Type="http://schemas.openxmlformats.org/officeDocument/2006/relationships/image" Id="rId134" Target="media/rId134.png" /><Relationship Type="http://schemas.openxmlformats.org/officeDocument/2006/relationships/image" Id="rId30" Target="media/rId30.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78" Target="media/rId78.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38" Target="media/rId138.png" /><Relationship Type="http://schemas.openxmlformats.org/officeDocument/2006/relationships/image" Id="rId84" Target="media/rId84.png" /><Relationship Type="http://schemas.openxmlformats.org/officeDocument/2006/relationships/image" Id="rId127" Target="media/rId127.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02" Target="media/rId102.png" /><Relationship Type="http://schemas.openxmlformats.org/officeDocument/2006/relationships/image" Id="rId66" Target="media/rId66.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2026-06-19T20:05:18Z</dcterms:created>
  <dcterms:modified xsi:type="dcterms:W3CDTF">2026-06-19T20:05:18Z</dcterms:modified>
</cp:coreProperties>
</file>

<file path=docProps/custom.xml><?xml version="1.0" encoding="utf-8"?>
<Properties xmlns="http://schemas.openxmlformats.org/officeDocument/2006/custom-properties" xmlns:vt="http://schemas.openxmlformats.org/officeDocument/2006/docPropsVTypes"/>
</file>