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30"/>
        </w:rPr>
        <w:t>BCO 519A — MAJOR PROJECT REPORT</w:t>
        <w:br/>
        <w:br/>
      </w:r>
    </w:p>
    <w:p>
      <w:pPr>
        <w:jc w:val="center"/>
      </w:pPr>
      <w:r>
        <w:rPr>
          <w:b/>
          <w:color w:val="0F172A"/>
          <w:sz w:val="42"/>
        </w:rPr>
        <w:t>MEDISUTRA: A UNIFIED LONGITUDINAL PERSONAL HEALTH INTELLIGENCE &amp; FEDERATED CLINICAL COPILOT PLATFORM</w:t>
        <w:br/>
        <w:br/>
      </w:r>
    </w:p>
    <w:p>
      <w:pPr>
        <w:jc w:val="center"/>
      </w:pPr>
      <w:r>
        <w:rPr>
          <w:b/>
          <w:sz w:val="26"/>
        </w:rPr>
        <w:t>A Major Project Report Submitted in Partial Fulfillment</w:t>
        <w:br/>
        <w:t>of the Requirements for the Award of the Degree of</w:t>
        <w:br/>
        <w:t>BACHELOR OF TECHNOLOGY</w:t>
        <w:br/>
        <w:t>in</w:t>
        <w:br/>
        <w:t>COMPUTER SCIENCE &amp; ENGINEERING</w:t>
        <w:br/>
        <w:br/>
      </w:r>
    </w:p>
    <w:p>
      <w:pPr>
        <w:jc w:val="center"/>
      </w:pPr>
      <w:r>
        <w:rPr>
          <w:sz w:val="22"/>
        </w:rPr>
        <w:t>Course Code: BCO 519A (Major Project)</w:t>
        <w:br/>
        <w:t>Academic Session: 2025–2026</w:t>
        <w:br/>
        <w:br/>
        <w:t>Submitted By:</w:t>
        <w:br/>
        <w:t>SAMARTH (Lead Developer / Project Coordinator)</w:t>
        <w:br/>
        <w:t>Roll No. / Enrollment ID: [Enrollment Number]</w:t>
        <w:br/>
        <w:br/>
        <w:t>Team Members:</w:t>
        <w:br/>
        <w:t>[Student Name 2] (Roll No: [Enrollment 2])</w:t>
        <w:br/>
        <w:t>[Student Name 3] (Roll No: [Enrollment 3])</w:t>
        <w:br/>
        <w:br/>
        <w:t>Under the Guidance &amp; Supervision of:</w:t>
        <w:br/>
        <w:t>[Faculty Guide Name]</w:t>
        <w:br/>
        <w:t>[Designation &amp; Department]</w:t>
        <w:br/>
        <w:br/>
        <w:t>DEPARTMENT OF COMPUTER SCIENCE &amp; ENGINEERING</w:t>
        <w:br/>
        <w:t>[INSTITUTION / UNIVERSITY NAME]</w:t>
        <w:br/>
        <w:t>[CAMPUS LOCATION, CITY, STATE, PIN CODE]</w:t>
        <w:br/>
      </w:r>
    </w:p>
    <w:p>
      <w:r>
        <w:br w:type="page"/>
      </w:r>
    </w:p>
    <w:p>
      <w:pPr>
        <w:pStyle w:val="Heading1"/>
        <w:jc w:val="center"/>
      </w:pPr>
      <w:r>
        <w:t>CERTIFICATE</w:t>
      </w:r>
    </w:p>
    <w:p>
      <w:pPr>
        <w:spacing w:line="312" w:lineRule="auto" w:after="120"/>
      </w:pPr>
      <w:r>
        <w:rPr>
          <w:rFonts w:ascii="Times New Roman" w:hAnsi="Times New Roman"/>
          <w:b/>
          <w:color w:val="0F172A"/>
          <w:sz w:val="24"/>
        </w:rPr>
        <w:t>CERTIFICATE OF APPROVAL</w:t>
        <w:br/>
      </w:r>
      <w:r>
        <w:rPr>
          <w:rFonts w:ascii="Times New Roman" w:hAnsi="Times New Roman"/>
          <w:color w:val="1E293B"/>
          <w:sz w:val="24"/>
        </w:rPr>
        <w:t>This is to certify that the Major Project entitled "MEDISUTRA: A Unified Longitudinal Personal Health Intelligence &amp; Federated Clinical Copilot Platform" submitted by Samarth [Enrollment No.] and team in partial fulfillment of the requirements for the award of the degree of Bachelor of Technology in Computer Science &amp; Engineering under course code BCO 519A (Major Project) is an authentic record of bonafide engineering and research work carried out under my supervision and guidance.</w:t>
      </w:r>
    </w:p>
    <w:p>
      <w:pPr>
        <w:spacing w:line="312" w:lineRule="auto" w:after="120"/>
      </w:pPr>
      <w:r>
        <w:rPr>
          <w:rFonts w:ascii="Times New Roman" w:hAnsi="Times New Roman"/>
          <w:color w:val="1E293B"/>
          <w:sz w:val="24"/>
        </w:rPr>
        <w:t>The project comprehensively fulfills all five prescribed Course Outcomes (COs) mandated by the Department of Computer Science &amp; Engineering:</w:t>
        <w:br/>
        <w:t>• CO1: Real-world problem identification and algorithmic computing formulation for healthcare data fragmentation.</w:t>
        <w:br/>
        <w:t>• CO2: Software design, architectural structuring, and full-stack system development utilizing modern tools and programming frameworks.</w:t>
        <w:br/>
        <w:t>• CO3: Implementation and robust testing adhering to standard engineering, verification, and documentation practices.</w:t>
        <w:br/>
        <w:t>• CO4: Professional ethics, team collaboration, data protection governance, and project lifecycle management.</w:t>
        <w:br/>
        <w:t>• CO5: Effective communication of project outcomes through comprehensive reports, presentations, and viva-voce examination.</w:t>
        <w:br/>
        <w:br/>
        <w:t>To the best of my knowledge, the matter embodied in this report has not been submitted to any other University or Institute for the award of any degree or diploma.</w:t>
      </w:r>
    </w:p>
    <w:tbl>
      <w:tblPr>
        <w:tblW w:type="auto" w:w="0"/>
        <w:jc w:val="center"/>
        <w:tblLook w:firstColumn="1" w:firstRow="1" w:lastColumn="0" w:lastRow="0" w:noHBand="0" w:noVBand="1" w:val="04A0"/>
      </w:tblPr>
      <w:tblGrid>
        <w:gridCol w:w="4500"/>
        <w:gridCol w:w="4500"/>
      </w:tblGrid>
      <w:tr>
        <w:tc>
          <w:tcPr>
            <w:tcW w:type="dxa" w:w="4500"/>
          </w:tcPr>
          <w:p>
            <w:r>
              <w:t>___________________________</w:t>
              <w:br/>
              <w:t>[Faculty Guide Name]</w:t>
              <w:br/>
              <w:t>Faculty Guide, CSE</w:t>
              <w:br/>
              <w:t>Dept of Computer Science &amp; Engg</w:t>
            </w:r>
          </w:p>
        </w:tc>
        <w:tc>
          <w:tcPr>
            <w:tcW w:type="dxa" w:w="4500"/>
          </w:tcPr>
          <w:p>
            <w:r>
              <w:t>___________________________</w:t>
              <w:br/>
              <w:t>[Project Coordinator Name]</w:t>
              <w:br/>
              <w:t>Project Coordinator, CSE</w:t>
              <w:br/>
              <w:t>Dept of Computer Science &amp; Engg</w:t>
            </w:r>
          </w:p>
        </w:tc>
      </w:tr>
      <w:tr>
        <w:tc>
          <w:tcPr>
            <w:tcW w:type="dxa" w:w="4500"/>
          </w:tcPr>
          <w:p>
            <w:r>
              <w:br/>
              <w:br/>
              <w:t>___________________________</w:t>
              <w:br/>
              <w:t>[Head of Department]</w:t>
              <w:br/>
              <w:t>Head, Department of CSE</w:t>
              <w:br/>
              <w:t>[Institution Name]</w:t>
            </w:r>
          </w:p>
        </w:tc>
        <w:tc>
          <w:tcPr>
            <w:tcW w:type="dxa" w:w="4500"/>
          </w:tcPr>
          <w:p>
            <w:r>
              <w:br/>
              <w:br/>
              <w:t>___________________________</w:t>
              <w:br/>
              <w:t>[External Examiner]</w:t>
              <w:br/>
              <w:t>External Examiner (Viva-Voce)</w:t>
              <w:br/>
              <w:t>Date: _______________</w:t>
            </w:r>
          </w:p>
        </w:tc>
      </w:tr>
    </w:tbl>
    <w:p>
      <w:r>
        <w:br w:type="page"/>
      </w:r>
    </w:p>
    <w:p>
      <w:pPr>
        <w:pStyle w:val="Heading1"/>
        <w:jc w:val="center"/>
      </w:pPr>
      <w:r>
        <w:t>DECLARATION OF ORIGINALITY</w:t>
      </w:r>
    </w:p>
    <w:p>
      <w:pPr>
        <w:spacing w:line="312" w:lineRule="auto" w:after="120"/>
      </w:pPr>
      <w:r>
        <w:rPr>
          <w:rFonts w:ascii="Times New Roman" w:hAnsi="Times New Roman"/>
          <w:color w:val="1E293B"/>
          <w:sz w:val="24"/>
        </w:rPr>
        <w:t>We hereby declare that this Major Project Report entitled "MEDISUTRA: A Unified Longitudinal Personal Health Intelligence &amp; Federated Clinical Copilot Platform" is our original work developed in partial fulfillment of course requirements for BCO 519A. We confirm that:</w:t>
        <w:br/>
        <w:t>1. This work has been completed in adherence to the highest standards of academic integrity and engineering ethics.</w:t>
        <w:br/>
        <w:t>2. All third-party libraries, open-source software dependencies, datasets, academic literature, and international standards (including HL7 FHIR, ICD-10, LOINC, and ABDM blueprints) have been properly cited and acknowledged.</w:t>
        <w:br/>
        <w:t>3. No portion of this software or report has been plagiarized or submitted elsewhere for any academic degree, diploma, or certificate.</w:t>
        <w:br/>
        <w:t>4. All patient data presented in this report consists of synthetically simulated clinical records and de-identified benchmark cohorts to protect citizen privacy in accordance with the Digital Personal Data Protection Act (DPDPA 2023).</w:t>
      </w:r>
    </w:p>
    <w:p>
      <w:pPr>
        <w:jc w:val="right"/>
      </w:pPr>
      <w:r>
        <w:br/>
        <w:br/>
        <w:t>___________________________</w:t>
        <w:br/>
        <w:t>Samarth (Lead Developer)</w:t>
        <w:br/>
        <w:t>Enrollment No: [Roll No]</w:t>
        <w:br/>
        <w:t>B.Tech Computer Science &amp; Engineering</w:t>
        <w:br/>
        <w:t>Date: October 2026</w:t>
      </w:r>
    </w:p>
    <w:p>
      <w:r>
        <w:br w:type="page"/>
      </w:r>
    </w:p>
    <w:p>
      <w:pPr>
        <w:pStyle w:val="Heading1"/>
        <w:jc w:val="center"/>
      </w:pPr>
      <w:r>
        <w:t>ACKNOWLEDGEMENT</w:t>
      </w:r>
    </w:p>
    <w:p>
      <w:pPr>
        <w:spacing w:line="312" w:lineRule="auto" w:after="120"/>
      </w:pPr>
      <w:r>
        <w:rPr>
          <w:rFonts w:ascii="Times New Roman" w:hAnsi="Times New Roman"/>
          <w:color w:val="1E293B"/>
          <w:sz w:val="24"/>
        </w:rPr>
        <w:t>The completion of this major project marks a pivotal milestone in our academic and professional journey. We express our profound gratitude to all the mentors, faculty members, and peers who guided and supported us throughout the conceptualization, design, implementation, and evaluation of MediSutra.</w:t>
        <w:br/>
        <w:br/>
        <w:t>First and foremost, we express our heartfelt appreciation to our respected Faculty Guide, [Faculty Guide Name], Department of Computer Science &amp; Engineering, for invaluable mentorship, constructive critique, and continuous technical encouragement. Your profound guidance in software design, distributed architectures, and healthcare data security helped us navigate complex engineering challenges.</w:t>
        <w:br/>
        <w:br/>
        <w:t>We extend our sincere thanks to the Project Coordinator, [Coordinator Name], and the Head of Department, [HOD Name], for providing state-of-the-art departmental computing infrastructure, laboratory resources, and a stimulating research atmosphere that fostered our creativity and innovation.</w:t>
        <w:br/>
        <w:br/>
        <w:t>We are also thankful to the departmental technical staff for their continuous logistical support during development and testing phases. Finally, we express our deepest gratitude to our parents and peers whose unconditional encouragement, patience, and motivation fueled our commitment to excellence.</w:t>
      </w:r>
    </w:p>
    <w:p>
      <w:r>
        <w:br w:type="page"/>
      </w:r>
    </w:p>
    <w:p>
      <w:pPr>
        <w:pStyle w:val="Heading1"/>
        <w:jc w:val="center"/>
      </w:pPr>
      <w:r>
        <w:t>ABSTRACT</w:t>
      </w:r>
    </w:p>
    <w:p>
      <w:pPr>
        <w:spacing w:line="312" w:lineRule="auto" w:after="120"/>
      </w:pPr>
      <w:r>
        <w:rPr>
          <w:rFonts w:ascii="Times New Roman" w:hAnsi="Times New Roman"/>
          <w:b/>
          <w:color w:val="0F172A"/>
          <w:sz w:val="24"/>
        </w:rPr>
        <w:t>EXECUTIVE SUMMARY</w:t>
        <w:br/>
      </w:r>
      <w:r>
        <w:rPr>
          <w:rFonts w:ascii="Times New Roman" w:hAnsi="Times New Roman"/>
          <w:color w:val="1E293B"/>
          <w:sz w:val="24"/>
        </w:rPr>
        <w:t>In modern healthcare ecosystems, medical records remain critically fragmented across proprietary hospital silos, standalone diagnostic laboratories, private outpatient clinics, and unstructured physical paper folders. When patients transition across healthcare facilities (e.g., from Apollo Hospitals to Max Healthcare or Fortis), attending clinicians face an acute absence of longitudinal medical history. This pervasive data fragmentation leads to redundant diagnostic testing, delayed critical interventions, adverse drug-condition interactions, and impaired clinical decision-making.</w:t>
        <w:br/>
        <w:br/>
        <w:t>MediSutra is engineered as a sovereign, federated Human Report Center (HRC) and Longitudinal Personal Health Intelligence Platform. Built around the core design paradigm of 'One Person, One Health Identity, One Complete Health Journey', the platform aggregates disparate health events into a continuous, condition-centric health dossier anchored to a standardized 14-digit Ayushman Bharat Health Account (ABDM/ABHA) identifier.</w:t>
        <w:br/>
        <w:br/>
        <w:t>The platform introduces four foundational engineering contributions:</w:t>
        <w:br/>
        <w:t>1. Federated Multi-Hospital Encounter Ingestion: Connects major healthcare nodes (Apollo, Fortis, Max, AIIMS) into a federated clinical graph, enabling licensed clinicians to record structured ICD-10 encounter diagnoses and certify verified cure milestones with follow-up evidence, maintaining an explicit boundary between active chronic diseases and resolved historical illnesses.</w:t>
        <w:br/>
        <w:t>2. Centralized Diagnostic Vault &amp; Biomarker Trajectory Computing: Ingests structured pathology panels from diagnostic chains (Dr. Lal PathLabs, Metropolis), deterministically calculating numerical deltas, reference deviations, and multi-year trajectories (e.g., Glycated Hemoglobin HbA1c, Fasting Blood Glucose, Vitamin D).</w:t>
        <w:br/>
        <w:t>3. Deterministic Clinical AI Copilot: Unlike unconstrained conversational models vulnerable to generative hallucinations, the MediSutra AI engine executes deterministic cross-hospital retrieval-augmented synthesis. It correlates free-form physician observations with the patient's complete longitudinal record, generating structured clinical assessments with multi-hospital citations and 1-click consultation note transfer.</w:t>
        <w:br/>
        <w:t>4. Zero-Trust Role-Based Access Control (RBAC) &amp; Sovereign Citizen DigiLocker: Implements strict role-scoped workspaces where citizens retain sovereign cryptographic consent over their records, while doctors and hospital administrators operate within isolated security domains, strictly compliant with India's Digital Personal Data Protection Act (DPDPA 2023).</w:t>
        <w:br/>
        <w:br/>
        <w:t>The platform is developed using a full-stack TypeScript architecture (React 19, Vite, Express.js, Node.js) and validated across multi-hospital patient cohorts. Performance evaluations demonstrate sub-15ms database query response latencies, zero TypeScript compiler errors, and sub-second end-to-end clinical synthesis generation.</w:t>
      </w:r>
    </w:p>
    <w:p>
      <w:pPr>
        <w:spacing w:line="312" w:lineRule="auto" w:after="120"/>
      </w:pPr>
      <w:r>
        <w:rPr>
          <w:rFonts w:ascii="Times New Roman" w:hAnsi="Times New Roman"/>
          <w:b/>
          <w:color w:val="0F172A"/>
          <w:sz w:val="24"/>
        </w:rPr>
        <w:t xml:space="preserve">Keywords: </w:t>
      </w:r>
      <w:r>
        <w:rPr>
          <w:rFonts w:ascii="Times New Roman" w:hAnsi="Times New Roman"/>
          <w:color w:val="1E293B"/>
          <w:sz w:val="24"/>
        </w:rPr>
        <w:t>Keywords: Longitudinal Health Records, Ayushman Bharat Digital Mission (ABDM/ABHA), Clinical Decision Support System (CDSS), Neuro-Symbolic AI, Zero-Trust Architecture, Health Data Interoperability, FHIR R4, Biomarker Trajectories.</w:t>
      </w:r>
    </w:p>
    <w:p>
      <w:r>
        <w:br w:type="page"/>
      </w:r>
    </w:p>
    <w:p>
      <w:pPr>
        <w:pStyle w:val="Heading1"/>
        <w:jc w:val="center"/>
      </w:pPr>
      <w:r>
        <w:t>TABLE OF CONTENTS</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sz w:val="20"/>
              </w:rPr>
              <w:t>Certificate of Approval</w:t>
            </w:r>
          </w:p>
        </w:tc>
        <w:tc>
          <w:tcPr>
            <w:tcW w:type="dxa" w:w="4500"/>
          </w:tcPr>
          <w:p>
            <w:pPr>
              <w:jc w:val="right"/>
            </w:pPr>
            <w:r>
              <w:rPr>
                <w:rFonts w:ascii="Times New Roman" w:hAnsi="Times New Roman"/>
                <w:sz w:val="20"/>
              </w:rPr>
              <w:t>ii</w:t>
            </w:r>
          </w:p>
        </w:tc>
      </w:tr>
      <w:tr>
        <w:tc>
          <w:tcPr>
            <w:tcW w:type="dxa" w:w="4500"/>
          </w:tcPr>
          <w:p>
            <w:r>
              <w:rPr>
                <w:rFonts w:ascii="Times New Roman" w:hAnsi="Times New Roman"/>
                <w:sz w:val="20"/>
              </w:rPr>
              <w:t>Declaration of Originality</w:t>
            </w:r>
          </w:p>
        </w:tc>
        <w:tc>
          <w:tcPr>
            <w:tcW w:type="dxa" w:w="4500"/>
          </w:tcPr>
          <w:p>
            <w:pPr>
              <w:jc w:val="right"/>
            </w:pPr>
            <w:r>
              <w:rPr>
                <w:rFonts w:ascii="Times New Roman" w:hAnsi="Times New Roman"/>
                <w:sz w:val="20"/>
              </w:rPr>
              <w:t>iii</w:t>
            </w:r>
          </w:p>
        </w:tc>
      </w:tr>
      <w:tr>
        <w:tc>
          <w:tcPr>
            <w:tcW w:type="dxa" w:w="4500"/>
          </w:tcPr>
          <w:p>
            <w:r>
              <w:rPr>
                <w:rFonts w:ascii="Times New Roman" w:hAnsi="Times New Roman"/>
                <w:sz w:val="20"/>
              </w:rPr>
              <w:t>Acknowledgement</w:t>
            </w:r>
          </w:p>
        </w:tc>
        <w:tc>
          <w:tcPr>
            <w:tcW w:type="dxa" w:w="4500"/>
          </w:tcPr>
          <w:p>
            <w:pPr>
              <w:jc w:val="right"/>
            </w:pPr>
            <w:r>
              <w:rPr>
                <w:rFonts w:ascii="Times New Roman" w:hAnsi="Times New Roman"/>
                <w:sz w:val="20"/>
              </w:rPr>
              <w:t>iv</w:t>
            </w:r>
          </w:p>
        </w:tc>
      </w:tr>
      <w:tr>
        <w:tc>
          <w:tcPr>
            <w:tcW w:type="dxa" w:w="4500"/>
          </w:tcPr>
          <w:p>
            <w:r>
              <w:rPr>
                <w:rFonts w:ascii="Times New Roman" w:hAnsi="Times New Roman"/>
                <w:sz w:val="20"/>
              </w:rPr>
              <w:t>Abstract</w:t>
            </w:r>
          </w:p>
        </w:tc>
        <w:tc>
          <w:tcPr>
            <w:tcW w:type="dxa" w:w="4500"/>
          </w:tcPr>
          <w:p>
            <w:pPr>
              <w:jc w:val="right"/>
            </w:pPr>
            <w:r>
              <w:rPr>
                <w:rFonts w:ascii="Times New Roman" w:hAnsi="Times New Roman"/>
                <w:sz w:val="20"/>
              </w:rPr>
              <w:t>v</w:t>
            </w:r>
          </w:p>
        </w:tc>
      </w:tr>
      <w:tr>
        <w:tc>
          <w:tcPr>
            <w:tcW w:type="dxa" w:w="4500"/>
          </w:tcPr>
          <w:p>
            <w:r>
              <w:rPr>
                <w:rFonts w:ascii="Times New Roman" w:hAnsi="Times New Roman"/>
                <w:sz w:val="20"/>
              </w:rPr>
              <w:t>List of Figures</w:t>
            </w:r>
          </w:p>
        </w:tc>
        <w:tc>
          <w:tcPr>
            <w:tcW w:type="dxa" w:w="4500"/>
          </w:tcPr>
          <w:p>
            <w:pPr>
              <w:jc w:val="right"/>
            </w:pPr>
            <w:r>
              <w:rPr>
                <w:rFonts w:ascii="Times New Roman" w:hAnsi="Times New Roman"/>
                <w:sz w:val="20"/>
              </w:rPr>
              <w:t>viii</w:t>
            </w:r>
          </w:p>
        </w:tc>
      </w:tr>
      <w:tr>
        <w:tc>
          <w:tcPr>
            <w:tcW w:type="dxa" w:w="4500"/>
          </w:tcPr>
          <w:p>
            <w:r>
              <w:rPr>
                <w:rFonts w:ascii="Times New Roman" w:hAnsi="Times New Roman"/>
                <w:sz w:val="20"/>
              </w:rPr>
              <w:t>List of Tables</w:t>
            </w:r>
          </w:p>
        </w:tc>
        <w:tc>
          <w:tcPr>
            <w:tcW w:type="dxa" w:w="4500"/>
          </w:tcPr>
          <w:p>
            <w:pPr>
              <w:jc w:val="right"/>
            </w:pPr>
            <w:r>
              <w:rPr>
                <w:rFonts w:ascii="Times New Roman" w:hAnsi="Times New Roman"/>
                <w:sz w:val="20"/>
              </w:rPr>
              <w:t>x</w:t>
            </w:r>
          </w:p>
        </w:tc>
      </w:tr>
      <w:tr>
        <w:tc>
          <w:tcPr>
            <w:tcW w:type="dxa" w:w="4500"/>
          </w:tcPr>
          <w:p>
            <w:r>
              <w:rPr>
                <w:rFonts w:ascii="Times New Roman" w:hAnsi="Times New Roman"/>
                <w:sz w:val="20"/>
              </w:rPr>
              <w:t>List of Abbreviations &amp; Acronyms</w:t>
            </w:r>
          </w:p>
        </w:tc>
        <w:tc>
          <w:tcPr>
            <w:tcW w:type="dxa" w:w="4500"/>
          </w:tcPr>
          <w:p>
            <w:pPr>
              <w:jc w:val="right"/>
            </w:pPr>
            <w:r>
              <w:rPr>
                <w:rFonts w:ascii="Times New Roman" w:hAnsi="Times New Roman"/>
                <w:sz w:val="20"/>
              </w:rPr>
              <w:t>xi</w:t>
            </w:r>
          </w:p>
        </w:tc>
      </w:tr>
      <w:tr>
        <w:tc>
          <w:tcPr>
            <w:tcW w:type="dxa" w:w="4500"/>
          </w:tcPr>
          <w:p>
            <w:r>
              <w:rPr>
                <w:rFonts w:ascii="Times New Roman" w:hAnsi="Times New Roman"/>
                <w:sz w:val="20"/>
              </w:rPr>
              <w:t>Chapter 1: Introduction</w:t>
            </w:r>
          </w:p>
        </w:tc>
        <w:tc>
          <w:tcPr>
            <w:tcW w:type="dxa" w:w="4500"/>
          </w:tcPr>
          <w:p>
            <w:pPr>
              <w:jc w:val="right"/>
            </w:pPr>
            <w:r>
              <w:rPr>
                <w:rFonts w:ascii="Times New Roman" w:hAnsi="Times New Roman"/>
                <w:sz w:val="20"/>
              </w:rPr>
              <w:t>1</w:t>
            </w:r>
          </w:p>
        </w:tc>
      </w:tr>
      <w:tr>
        <w:tc>
          <w:tcPr>
            <w:tcW w:type="dxa" w:w="4500"/>
          </w:tcPr>
          <w:p>
            <w:r>
              <w:rPr>
                <w:rFonts w:ascii="Times New Roman" w:hAnsi="Times New Roman"/>
                <w:sz w:val="20"/>
              </w:rPr>
              <w:t xml:space="preserve">  1.1 Global &amp; National Healthcare Landscape</w:t>
            </w:r>
          </w:p>
        </w:tc>
        <w:tc>
          <w:tcPr>
            <w:tcW w:type="dxa" w:w="4500"/>
          </w:tcPr>
          <w:p>
            <w:pPr>
              <w:jc w:val="right"/>
            </w:pPr>
            <w:r>
              <w:rPr>
                <w:rFonts w:ascii="Times New Roman" w:hAnsi="Times New Roman"/>
                <w:sz w:val="20"/>
              </w:rPr>
              <w:t>1</w:t>
            </w:r>
          </w:p>
        </w:tc>
      </w:tr>
      <w:tr>
        <w:tc>
          <w:tcPr>
            <w:tcW w:type="dxa" w:w="4500"/>
          </w:tcPr>
          <w:p>
            <w:r>
              <w:rPr>
                <w:rFonts w:ascii="Times New Roman" w:hAnsi="Times New Roman"/>
                <w:sz w:val="20"/>
              </w:rPr>
              <w:t xml:space="preserve">  1.2 The Fragmentation Dilemma in Indian Healthcare</w:t>
            </w:r>
          </w:p>
        </w:tc>
        <w:tc>
          <w:tcPr>
            <w:tcW w:type="dxa" w:w="4500"/>
          </w:tcPr>
          <w:p>
            <w:pPr>
              <w:jc w:val="right"/>
            </w:pPr>
            <w:r>
              <w:rPr>
                <w:rFonts w:ascii="Times New Roman" w:hAnsi="Times New Roman"/>
                <w:sz w:val="20"/>
              </w:rPr>
              <w:t>3</w:t>
            </w:r>
          </w:p>
        </w:tc>
      </w:tr>
      <w:tr>
        <w:tc>
          <w:tcPr>
            <w:tcW w:type="dxa" w:w="4500"/>
          </w:tcPr>
          <w:p>
            <w:r>
              <w:rPr>
                <w:rFonts w:ascii="Times New Roman" w:hAnsi="Times New Roman"/>
                <w:sz w:val="20"/>
              </w:rPr>
              <w:t xml:space="preserve">  1.3 Motivation &amp; Research Rationale</w:t>
            </w:r>
          </w:p>
        </w:tc>
        <w:tc>
          <w:tcPr>
            <w:tcW w:type="dxa" w:w="4500"/>
          </w:tcPr>
          <w:p>
            <w:pPr>
              <w:jc w:val="right"/>
            </w:pPr>
            <w:r>
              <w:rPr>
                <w:rFonts w:ascii="Times New Roman" w:hAnsi="Times New Roman"/>
                <w:sz w:val="20"/>
              </w:rPr>
              <w:t>4</w:t>
            </w:r>
          </w:p>
        </w:tc>
      </w:tr>
      <w:tr>
        <w:tc>
          <w:tcPr>
            <w:tcW w:type="dxa" w:w="4500"/>
          </w:tcPr>
          <w:p>
            <w:r>
              <w:rPr>
                <w:rFonts w:ascii="Times New Roman" w:hAnsi="Times New Roman"/>
                <w:sz w:val="20"/>
              </w:rPr>
              <w:t xml:space="preserve">  1.4 Problem Statement &amp; Formal Problem Formulation</w:t>
            </w:r>
          </w:p>
        </w:tc>
        <w:tc>
          <w:tcPr>
            <w:tcW w:type="dxa" w:w="4500"/>
          </w:tcPr>
          <w:p>
            <w:pPr>
              <w:jc w:val="right"/>
            </w:pPr>
            <w:r>
              <w:rPr>
                <w:rFonts w:ascii="Times New Roman" w:hAnsi="Times New Roman"/>
                <w:sz w:val="20"/>
              </w:rPr>
              <w:t>6</w:t>
            </w:r>
          </w:p>
        </w:tc>
      </w:tr>
      <w:tr>
        <w:tc>
          <w:tcPr>
            <w:tcW w:type="dxa" w:w="4500"/>
          </w:tcPr>
          <w:p>
            <w:r>
              <w:rPr>
                <w:rFonts w:ascii="Times New Roman" w:hAnsi="Times New Roman"/>
                <w:sz w:val="20"/>
              </w:rPr>
              <w:t xml:space="preserve">  1.5 Objectives of the Major Project</w:t>
            </w:r>
          </w:p>
        </w:tc>
        <w:tc>
          <w:tcPr>
            <w:tcW w:type="dxa" w:w="4500"/>
          </w:tcPr>
          <w:p>
            <w:pPr>
              <w:jc w:val="right"/>
            </w:pPr>
            <w:r>
              <w:rPr>
                <w:rFonts w:ascii="Times New Roman" w:hAnsi="Times New Roman"/>
                <w:sz w:val="20"/>
              </w:rPr>
              <w:t>8</w:t>
            </w:r>
          </w:p>
        </w:tc>
      </w:tr>
      <w:tr>
        <w:tc>
          <w:tcPr>
            <w:tcW w:type="dxa" w:w="4500"/>
          </w:tcPr>
          <w:p>
            <w:r>
              <w:rPr>
                <w:rFonts w:ascii="Times New Roman" w:hAnsi="Times New Roman"/>
                <w:sz w:val="20"/>
              </w:rPr>
              <w:t xml:space="preserve">  1.6 Scope, Boundary Conditions &amp; Assumptions</w:t>
            </w:r>
          </w:p>
        </w:tc>
        <w:tc>
          <w:tcPr>
            <w:tcW w:type="dxa" w:w="4500"/>
          </w:tcPr>
          <w:p>
            <w:pPr>
              <w:jc w:val="right"/>
            </w:pPr>
            <w:r>
              <w:rPr>
                <w:rFonts w:ascii="Times New Roman" w:hAnsi="Times New Roman"/>
                <w:sz w:val="20"/>
              </w:rPr>
              <w:t>9</w:t>
            </w:r>
          </w:p>
        </w:tc>
      </w:tr>
      <w:tr>
        <w:tc>
          <w:tcPr>
            <w:tcW w:type="dxa" w:w="4500"/>
          </w:tcPr>
          <w:p>
            <w:r>
              <w:rPr>
                <w:rFonts w:ascii="Times New Roman" w:hAnsi="Times New Roman"/>
                <w:sz w:val="20"/>
              </w:rPr>
              <w:t xml:space="preserve">  1.7 Course Outcome Attainment Mapping (CO1 – CO5)</w:t>
            </w:r>
          </w:p>
        </w:tc>
        <w:tc>
          <w:tcPr>
            <w:tcW w:type="dxa" w:w="4500"/>
          </w:tcPr>
          <w:p>
            <w:pPr>
              <w:jc w:val="right"/>
            </w:pPr>
            <w:r>
              <w:rPr>
                <w:rFonts w:ascii="Times New Roman" w:hAnsi="Times New Roman"/>
                <w:sz w:val="20"/>
              </w:rPr>
              <w:t>10</w:t>
            </w:r>
          </w:p>
        </w:tc>
      </w:tr>
      <w:tr>
        <w:tc>
          <w:tcPr>
            <w:tcW w:type="dxa" w:w="4500"/>
          </w:tcPr>
          <w:p>
            <w:r>
              <w:rPr>
                <w:rFonts w:ascii="Times New Roman" w:hAnsi="Times New Roman"/>
                <w:sz w:val="20"/>
              </w:rPr>
              <w:t xml:space="preserve">  1.8 Thesis Organization</w:t>
            </w:r>
          </w:p>
        </w:tc>
        <w:tc>
          <w:tcPr>
            <w:tcW w:type="dxa" w:w="4500"/>
          </w:tcPr>
          <w:p>
            <w:pPr>
              <w:jc w:val="right"/>
            </w:pPr>
            <w:r>
              <w:rPr>
                <w:rFonts w:ascii="Times New Roman" w:hAnsi="Times New Roman"/>
                <w:sz w:val="20"/>
              </w:rPr>
              <w:t>12</w:t>
            </w:r>
          </w:p>
        </w:tc>
      </w:tr>
      <w:tr>
        <w:tc>
          <w:tcPr>
            <w:tcW w:type="dxa" w:w="4500"/>
          </w:tcPr>
          <w:p>
            <w:r>
              <w:rPr>
                <w:rFonts w:ascii="Times New Roman" w:hAnsi="Times New Roman"/>
                <w:sz w:val="20"/>
              </w:rPr>
              <w:t>Chapter 2: Literature Review &amp; Theoretical Foundations</w:t>
            </w:r>
          </w:p>
        </w:tc>
        <w:tc>
          <w:tcPr>
            <w:tcW w:type="dxa" w:w="4500"/>
          </w:tcPr>
          <w:p>
            <w:pPr>
              <w:jc w:val="right"/>
            </w:pPr>
            <w:r>
              <w:rPr>
                <w:rFonts w:ascii="Times New Roman" w:hAnsi="Times New Roman"/>
                <w:sz w:val="20"/>
              </w:rPr>
              <w:t>14</w:t>
            </w:r>
          </w:p>
        </w:tc>
      </w:tr>
      <w:tr>
        <w:tc>
          <w:tcPr>
            <w:tcW w:type="dxa" w:w="4500"/>
          </w:tcPr>
          <w:p>
            <w:r>
              <w:rPr>
                <w:rFonts w:ascii="Times New Roman" w:hAnsi="Times New Roman"/>
                <w:sz w:val="20"/>
              </w:rPr>
              <w:t xml:space="preserve">  2.1 Evolution of Health Information Systems (EHR)</w:t>
            </w:r>
          </w:p>
        </w:tc>
        <w:tc>
          <w:tcPr>
            <w:tcW w:type="dxa" w:w="4500"/>
          </w:tcPr>
          <w:p>
            <w:pPr>
              <w:jc w:val="right"/>
            </w:pPr>
            <w:r>
              <w:rPr>
                <w:rFonts w:ascii="Times New Roman" w:hAnsi="Times New Roman"/>
                <w:sz w:val="20"/>
              </w:rPr>
              <w:t>14</w:t>
            </w:r>
          </w:p>
        </w:tc>
      </w:tr>
      <w:tr>
        <w:tc>
          <w:tcPr>
            <w:tcW w:type="dxa" w:w="4500"/>
          </w:tcPr>
          <w:p>
            <w:r>
              <w:rPr>
                <w:rFonts w:ascii="Times New Roman" w:hAnsi="Times New Roman"/>
                <w:sz w:val="20"/>
              </w:rPr>
              <w:t xml:space="preserve">  2.2 National Digital Health Initiatives (ABDM, NHS, Estonia)</w:t>
            </w:r>
          </w:p>
        </w:tc>
        <w:tc>
          <w:tcPr>
            <w:tcW w:type="dxa" w:w="4500"/>
          </w:tcPr>
          <w:p>
            <w:pPr>
              <w:jc w:val="right"/>
            </w:pPr>
            <w:r>
              <w:rPr>
                <w:rFonts w:ascii="Times New Roman" w:hAnsi="Times New Roman"/>
                <w:sz w:val="20"/>
              </w:rPr>
              <w:t>16</w:t>
            </w:r>
          </w:p>
        </w:tc>
      </w:tr>
      <w:tr>
        <w:tc>
          <w:tcPr>
            <w:tcW w:type="dxa" w:w="4500"/>
          </w:tcPr>
          <w:p>
            <w:r>
              <w:rPr>
                <w:rFonts w:ascii="Times New Roman" w:hAnsi="Times New Roman"/>
                <w:sz w:val="20"/>
              </w:rPr>
              <w:t xml:space="preserve">  2.3 International Healthcare Data Standards &amp; Semantic Ontologies</w:t>
            </w:r>
          </w:p>
        </w:tc>
        <w:tc>
          <w:tcPr>
            <w:tcW w:type="dxa" w:w="4500"/>
          </w:tcPr>
          <w:p>
            <w:pPr>
              <w:jc w:val="right"/>
            </w:pPr>
            <w:r>
              <w:rPr>
                <w:rFonts w:ascii="Times New Roman" w:hAnsi="Times New Roman"/>
                <w:sz w:val="20"/>
              </w:rPr>
              <w:t>18</w:t>
            </w:r>
          </w:p>
        </w:tc>
      </w:tr>
      <w:tr>
        <w:tc>
          <w:tcPr>
            <w:tcW w:type="dxa" w:w="4500"/>
          </w:tcPr>
          <w:p>
            <w:r>
              <w:rPr>
                <w:rFonts w:ascii="Times New Roman" w:hAnsi="Times New Roman"/>
                <w:sz w:val="20"/>
              </w:rPr>
              <w:t xml:space="preserve">    2.3.1 HL7 FHIR Release 4 Standard</w:t>
            </w:r>
          </w:p>
        </w:tc>
        <w:tc>
          <w:tcPr>
            <w:tcW w:type="dxa" w:w="4500"/>
          </w:tcPr>
          <w:p>
            <w:pPr>
              <w:jc w:val="right"/>
            </w:pPr>
            <w:r>
              <w:rPr>
                <w:rFonts w:ascii="Times New Roman" w:hAnsi="Times New Roman"/>
                <w:sz w:val="20"/>
              </w:rPr>
              <w:t>18</w:t>
            </w:r>
          </w:p>
        </w:tc>
      </w:tr>
      <w:tr>
        <w:tc>
          <w:tcPr>
            <w:tcW w:type="dxa" w:w="4500"/>
          </w:tcPr>
          <w:p>
            <w:r>
              <w:rPr>
                <w:rFonts w:ascii="Times New Roman" w:hAnsi="Times New Roman"/>
                <w:sz w:val="20"/>
              </w:rPr>
              <w:t xml:space="preserve">    2.3.2 WHO ICD-10 Classification of Diseases</w:t>
            </w:r>
          </w:p>
        </w:tc>
        <w:tc>
          <w:tcPr>
            <w:tcW w:type="dxa" w:w="4500"/>
          </w:tcPr>
          <w:p>
            <w:pPr>
              <w:jc w:val="right"/>
            </w:pPr>
            <w:r>
              <w:rPr>
                <w:rFonts w:ascii="Times New Roman" w:hAnsi="Times New Roman"/>
                <w:sz w:val="20"/>
              </w:rPr>
              <w:t>19</w:t>
            </w:r>
          </w:p>
        </w:tc>
      </w:tr>
      <w:tr>
        <w:tc>
          <w:tcPr>
            <w:tcW w:type="dxa" w:w="4500"/>
          </w:tcPr>
          <w:p>
            <w:r>
              <w:rPr>
                <w:rFonts w:ascii="Times New Roman" w:hAnsi="Times New Roman"/>
                <w:sz w:val="20"/>
              </w:rPr>
              <w:t xml:space="preserve">    2.3.3 LOINC Laboratory Biomarker Codes</w:t>
            </w:r>
          </w:p>
        </w:tc>
        <w:tc>
          <w:tcPr>
            <w:tcW w:type="dxa" w:w="4500"/>
          </w:tcPr>
          <w:p>
            <w:pPr>
              <w:jc w:val="right"/>
            </w:pPr>
            <w:r>
              <w:rPr>
                <w:rFonts w:ascii="Times New Roman" w:hAnsi="Times New Roman"/>
                <w:sz w:val="20"/>
              </w:rPr>
              <w:t>20</w:t>
            </w:r>
          </w:p>
        </w:tc>
      </w:tr>
      <w:tr>
        <w:tc>
          <w:tcPr>
            <w:tcW w:type="dxa" w:w="4500"/>
          </w:tcPr>
          <w:p>
            <w:r>
              <w:rPr>
                <w:rFonts w:ascii="Times New Roman" w:hAnsi="Times New Roman"/>
                <w:sz w:val="20"/>
              </w:rPr>
              <w:t xml:space="preserve">    2.3.4 SNOMED-CT Clinical Terminology</w:t>
            </w:r>
          </w:p>
        </w:tc>
        <w:tc>
          <w:tcPr>
            <w:tcW w:type="dxa" w:w="4500"/>
          </w:tcPr>
          <w:p>
            <w:pPr>
              <w:jc w:val="right"/>
            </w:pPr>
            <w:r>
              <w:rPr>
                <w:rFonts w:ascii="Times New Roman" w:hAnsi="Times New Roman"/>
                <w:sz w:val="20"/>
              </w:rPr>
              <w:t>21</w:t>
            </w:r>
          </w:p>
        </w:tc>
      </w:tr>
      <w:tr>
        <w:tc>
          <w:tcPr>
            <w:tcW w:type="dxa" w:w="4500"/>
          </w:tcPr>
          <w:p>
            <w:r>
              <w:rPr>
                <w:rFonts w:ascii="Times New Roman" w:hAnsi="Times New Roman"/>
                <w:sz w:val="20"/>
              </w:rPr>
              <w:t xml:space="preserve">  2.4 Clinical Artificial Intelligence &amp; Safety Engineering</w:t>
            </w:r>
          </w:p>
        </w:tc>
        <w:tc>
          <w:tcPr>
            <w:tcW w:type="dxa" w:w="4500"/>
          </w:tcPr>
          <w:p>
            <w:pPr>
              <w:jc w:val="right"/>
            </w:pPr>
            <w:r>
              <w:rPr>
                <w:rFonts w:ascii="Times New Roman" w:hAnsi="Times New Roman"/>
                <w:sz w:val="20"/>
              </w:rPr>
              <w:t>22</w:t>
            </w:r>
          </w:p>
        </w:tc>
      </w:tr>
      <w:tr>
        <w:tc>
          <w:tcPr>
            <w:tcW w:type="dxa" w:w="4500"/>
          </w:tcPr>
          <w:p>
            <w:r>
              <w:rPr>
                <w:rFonts w:ascii="Times New Roman" w:hAnsi="Times New Roman"/>
                <w:sz w:val="20"/>
              </w:rPr>
              <w:t xml:space="preserve">    2.4.1 Evolution of Clinical Decision Support Systems</w:t>
            </w:r>
          </w:p>
        </w:tc>
        <w:tc>
          <w:tcPr>
            <w:tcW w:type="dxa" w:w="4500"/>
          </w:tcPr>
          <w:p>
            <w:pPr>
              <w:jc w:val="right"/>
            </w:pPr>
            <w:r>
              <w:rPr>
                <w:rFonts w:ascii="Times New Roman" w:hAnsi="Times New Roman"/>
                <w:sz w:val="20"/>
              </w:rPr>
              <w:t>22</w:t>
            </w:r>
          </w:p>
        </w:tc>
      </w:tr>
      <w:tr>
        <w:tc>
          <w:tcPr>
            <w:tcW w:type="dxa" w:w="4500"/>
          </w:tcPr>
          <w:p>
            <w:r>
              <w:rPr>
                <w:rFonts w:ascii="Times New Roman" w:hAnsi="Times New Roman"/>
                <w:sz w:val="20"/>
              </w:rPr>
              <w:t xml:space="preserve">    2.4.2 Large Language Models &amp; Clinical Hallucinations</w:t>
            </w:r>
          </w:p>
        </w:tc>
        <w:tc>
          <w:tcPr>
            <w:tcW w:type="dxa" w:w="4500"/>
          </w:tcPr>
          <w:p>
            <w:pPr>
              <w:jc w:val="right"/>
            </w:pPr>
            <w:r>
              <w:rPr>
                <w:rFonts w:ascii="Times New Roman" w:hAnsi="Times New Roman"/>
                <w:sz w:val="20"/>
              </w:rPr>
              <w:t>23</w:t>
            </w:r>
          </w:p>
        </w:tc>
      </w:tr>
      <w:tr>
        <w:tc>
          <w:tcPr>
            <w:tcW w:type="dxa" w:w="4500"/>
          </w:tcPr>
          <w:p>
            <w:r>
              <w:rPr>
                <w:rFonts w:ascii="Times New Roman" w:hAnsi="Times New Roman"/>
                <w:sz w:val="20"/>
              </w:rPr>
              <w:t xml:space="preserve">    2.4.3 Neuro-Symbolic AI &amp; Deterministic RAG</w:t>
            </w:r>
          </w:p>
        </w:tc>
        <w:tc>
          <w:tcPr>
            <w:tcW w:type="dxa" w:w="4500"/>
          </w:tcPr>
          <w:p>
            <w:pPr>
              <w:jc w:val="right"/>
            </w:pPr>
            <w:r>
              <w:rPr>
                <w:rFonts w:ascii="Times New Roman" w:hAnsi="Times New Roman"/>
                <w:sz w:val="20"/>
              </w:rPr>
              <w:t>24</w:t>
            </w:r>
          </w:p>
        </w:tc>
      </w:tr>
      <w:tr>
        <w:tc>
          <w:tcPr>
            <w:tcW w:type="dxa" w:w="4500"/>
          </w:tcPr>
          <w:p>
            <w:r>
              <w:rPr>
                <w:rFonts w:ascii="Times New Roman" w:hAnsi="Times New Roman"/>
                <w:sz w:val="20"/>
              </w:rPr>
              <w:t xml:space="preserve">  2.5 Comparative Analysis of Existing Healthcare Platforms</w:t>
            </w:r>
          </w:p>
        </w:tc>
        <w:tc>
          <w:tcPr>
            <w:tcW w:type="dxa" w:w="4500"/>
          </w:tcPr>
          <w:p>
            <w:pPr>
              <w:jc w:val="right"/>
            </w:pPr>
            <w:r>
              <w:rPr>
                <w:rFonts w:ascii="Times New Roman" w:hAnsi="Times New Roman"/>
                <w:sz w:val="20"/>
              </w:rPr>
              <w:t>25</w:t>
            </w:r>
          </w:p>
        </w:tc>
      </w:tr>
      <w:tr>
        <w:tc>
          <w:tcPr>
            <w:tcW w:type="dxa" w:w="4500"/>
          </w:tcPr>
          <w:p>
            <w:r>
              <w:rPr>
                <w:rFonts w:ascii="Times New Roman" w:hAnsi="Times New Roman"/>
                <w:sz w:val="20"/>
              </w:rPr>
              <w:t xml:space="preserve">  2.6 Research Gaps and Problem Opportunities</w:t>
            </w:r>
          </w:p>
        </w:tc>
        <w:tc>
          <w:tcPr>
            <w:tcW w:type="dxa" w:w="4500"/>
          </w:tcPr>
          <w:p>
            <w:pPr>
              <w:jc w:val="right"/>
            </w:pPr>
            <w:r>
              <w:rPr>
                <w:rFonts w:ascii="Times New Roman" w:hAnsi="Times New Roman"/>
                <w:sz w:val="20"/>
              </w:rPr>
              <w:t>27</w:t>
            </w:r>
          </w:p>
        </w:tc>
      </w:tr>
      <w:tr>
        <w:tc>
          <w:tcPr>
            <w:tcW w:type="dxa" w:w="4500"/>
          </w:tcPr>
          <w:p>
            <w:r>
              <w:rPr>
                <w:rFonts w:ascii="Times New Roman" w:hAnsi="Times New Roman"/>
                <w:sz w:val="20"/>
              </w:rPr>
              <w:t>Chapter 3: System Requirements Specification (SRS)</w:t>
            </w:r>
          </w:p>
        </w:tc>
        <w:tc>
          <w:tcPr>
            <w:tcW w:type="dxa" w:w="4500"/>
          </w:tcPr>
          <w:p>
            <w:pPr>
              <w:jc w:val="right"/>
            </w:pPr>
            <w:r>
              <w:rPr>
                <w:rFonts w:ascii="Times New Roman" w:hAnsi="Times New Roman"/>
                <w:sz w:val="20"/>
              </w:rPr>
              <w:t>29</w:t>
            </w:r>
          </w:p>
        </w:tc>
      </w:tr>
      <w:tr>
        <w:tc>
          <w:tcPr>
            <w:tcW w:type="dxa" w:w="4500"/>
          </w:tcPr>
          <w:p>
            <w:r>
              <w:rPr>
                <w:rFonts w:ascii="Times New Roman" w:hAnsi="Times New Roman"/>
                <w:sz w:val="20"/>
              </w:rPr>
              <w:t xml:space="preserve">  3.1 Stakeholder Analysis &amp; User Personas</w:t>
            </w:r>
          </w:p>
        </w:tc>
        <w:tc>
          <w:tcPr>
            <w:tcW w:type="dxa" w:w="4500"/>
          </w:tcPr>
          <w:p>
            <w:pPr>
              <w:jc w:val="right"/>
            </w:pPr>
            <w:r>
              <w:rPr>
                <w:rFonts w:ascii="Times New Roman" w:hAnsi="Times New Roman"/>
                <w:sz w:val="20"/>
              </w:rPr>
              <w:t>29</w:t>
            </w:r>
          </w:p>
        </w:tc>
      </w:tr>
      <w:tr>
        <w:tc>
          <w:tcPr>
            <w:tcW w:type="dxa" w:w="4500"/>
          </w:tcPr>
          <w:p>
            <w:r>
              <w:rPr>
                <w:rFonts w:ascii="Times New Roman" w:hAnsi="Times New Roman"/>
                <w:sz w:val="20"/>
              </w:rPr>
              <w:t xml:space="preserve">  3.2 Functional Requirements Specification (FRS-1 to FRS-10)</w:t>
            </w:r>
          </w:p>
        </w:tc>
        <w:tc>
          <w:tcPr>
            <w:tcW w:type="dxa" w:w="4500"/>
          </w:tcPr>
          <w:p>
            <w:pPr>
              <w:jc w:val="right"/>
            </w:pPr>
            <w:r>
              <w:rPr>
                <w:rFonts w:ascii="Times New Roman" w:hAnsi="Times New Roman"/>
                <w:sz w:val="20"/>
              </w:rPr>
              <w:t>31</w:t>
            </w:r>
          </w:p>
        </w:tc>
      </w:tr>
      <w:tr>
        <w:tc>
          <w:tcPr>
            <w:tcW w:type="dxa" w:w="4500"/>
          </w:tcPr>
          <w:p>
            <w:r>
              <w:rPr>
                <w:rFonts w:ascii="Times New Roman" w:hAnsi="Times New Roman"/>
                <w:sz w:val="20"/>
              </w:rPr>
              <w:t xml:space="preserve">  3.3 Non-Functional Requirements Specification (NFRS)</w:t>
            </w:r>
          </w:p>
        </w:tc>
        <w:tc>
          <w:tcPr>
            <w:tcW w:type="dxa" w:w="4500"/>
          </w:tcPr>
          <w:p>
            <w:pPr>
              <w:jc w:val="right"/>
            </w:pPr>
            <w:r>
              <w:rPr>
                <w:rFonts w:ascii="Times New Roman" w:hAnsi="Times New Roman"/>
                <w:sz w:val="20"/>
              </w:rPr>
              <w:t>34</w:t>
            </w:r>
          </w:p>
        </w:tc>
      </w:tr>
      <w:tr>
        <w:tc>
          <w:tcPr>
            <w:tcW w:type="dxa" w:w="4500"/>
          </w:tcPr>
          <w:p>
            <w:r>
              <w:rPr>
                <w:rFonts w:ascii="Times New Roman" w:hAnsi="Times New Roman"/>
                <w:sz w:val="20"/>
              </w:rPr>
              <w:t xml:space="preserve">  3.4 Hardware Requirements &amp; Sizing Matrix</w:t>
            </w:r>
          </w:p>
        </w:tc>
        <w:tc>
          <w:tcPr>
            <w:tcW w:type="dxa" w:w="4500"/>
          </w:tcPr>
          <w:p>
            <w:pPr>
              <w:jc w:val="right"/>
            </w:pPr>
            <w:r>
              <w:rPr>
                <w:rFonts w:ascii="Times New Roman" w:hAnsi="Times New Roman"/>
                <w:sz w:val="20"/>
              </w:rPr>
              <w:t>36</w:t>
            </w:r>
          </w:p>
        </w:tc>
      </w:tr>
      <w:tr>
        <w:tc>
          <w:tcPr>
            <w:tcW w:type="dxa" w:w="4500"/>
          </w:tcPr>
          <w:p>
            <w:r>
              <w:rPr>
                <w:rFonts w:ascii="Times New Roman" w:hAnsi="Times New Roman"/>
                <w:sz w:val="20"/>
              </w:rPr>
              <w:t xml:space="preserve">  3.5 Software Requirements &amp; Technology Stack Justification</w:t>
            </w:r>
          </w:p>
        </w:tc>
        <w:tc>
          <w:tcPr>
            <w:tcW w:type="dxa" w:w="4500"/>
          </w:tcPr>
          <w:p>
            <w:pPr>
              <w:jc w:val="right"/>
            </w:pPr>
            <w:r>
              <w:rPr>
                <w:rFonts w:ascii="Times New Roman" w:hAnsi="Times New Roman"/>
                <w:sz w:val="20"/>
              </w:rPr>
              <w:t>37</w:t>
            </w:r>
          </w:p>
        </w:tc>
      </w:tr>
      <w:tr>
        <w:tc>
          <w:tcPr>
            <w:tcW w:type="dxa" w:w="4500"/>
          </w:tcPr>
          <w:p>
            <w:r>
              <w:rPr>
                <w:rFonts w:ascii="Times New Roman" w:hAnsi="Times New Roman"/>
                <w:sz w:val="20"/>
              </w:rPr>
              <w:t xml:space="preserve">  3.6 Regulatory Compliance &amp; Ethical Governance (DPDPA 2023)</w:t>
            </w:r>
          </w:p>
        </w:tc>
        <w:tc>
          <w:tcPr>
            <w:tcW w:type="dxa" w:w="4500"/>
          </w:tcPr>
          <w:p>
            <w:pPr>
              <w:jc w:val="right"/>
            </w:pPr>
            <w:r>
              <w:rPr>
                <w:rFonts w:ascii="Times New Roman" w:hAnsi="Times New Roman"/>
                <w:sz w:val="20"/>
              </w:rPr>
              <w:t>39</w:t>
            </w:r>
          </w:p>
        </w:tc>
      </w:tr>
      <w:tr>
        <w:tc>
          <w:tcPr>
            <w:tcW w:type="dxa" w:w="4500"/>
          </w:tcPr>
          <w:p>
            <w:r>
              <w:rPr>
                <w:rFonts w:ascii="Times New Roman" w:hAnsi="Times New Roman"/>
                <w:sz w:val="20"/>
              </w:rPr>
              <w:t>Chapter 4: System Architecture &amp; Design</w:t>
            </w:r>
          </w:p>
        </w:tc>
        <w:tc>
          <w:tcPr>
            <w:tcW w:type="dxa" w:w="4500"/>
          </w:tcPr>
          <w:p>
            <w:pPr>
              <w:jc w:val="right"/>
            </w:pPr>
            <w:r>
              <w:rPr>
                <w:rFonts w:ascii="Times New Roman" w:hAnsi="Times New Roman"/>
                <w:sz w:val="20"/>
              </w:rPr>
              <w:t>41</w:t>
            </w:r>
          </w:p>
        </w:tc>
      </w:tr>
      <w:tr>
        <w:tc>
          <w:tcPr>
            <w:tcW w:type="dxa" w:w="4500"/>
          </w:tcPr>
          <w:p>
            <w:r>
              <w:rPr>
                <w:rFonts w:ascii="Times New Roman" w:hAnsi="Times New Roman"/>
                <w:sz w:val="20"/>
              </w:rPr>
              <w:t xml:space="preserve">  4.1 Enterprise 4-Tier Architecture Overview</w:t>
            </w:r>
          </w:p>
        </w:tc>
        <w:tc>
          <w:tcPr>
            <w:tcW w:type="dxa" w:w="4500"/>
          </w:tcPr>
          <w:p>
            <w:pPr>
              <w:jc w:val="right"/>
            </w:pPr>
            <w:r>
              <w:rPr>
                <w:rFonts w:ascii="Times New Roman" w:hAnsi="Times New Roman"/>
                <w:sz w:val="20"/>
              </w:rPr>
              <w:t>41</w:t>
            </w:r>
          </w:p>
        </w:tc>
      </w:tr>
      <w:tr>
        <w:tc>
          <w:tcPr>
            <w:tcW w:type="dxa" w:w="4500"/>
          </w:tcPr>
          <w:p>
            <w:r>
              <w:rPr>
                <w:rFonts w:ascii="Times New Roman" w:hAnsi="Times New Roman"/>
                <w:sz w:val="20"/>
              </w:rPr>
              <w:t xml:space="preserve">  4.2 Data Flow Diagrams (Level 0, Level 1, Level 2)</w:t>
            </w:r>
          </w:p>
        </w:tc>
        <w:tc>
          <w:tcPr>
            <w:tcW w:type="dxa" w:w="4500"/>
          </w:tcPr>
          <w:p>
            <w:pPr>
              <w:jc w:val="right"/>
            </w:pPr>
            <w:r>
              <w:rPr>
                <w:rFonts w:ascii="Times New Roman" w:hAnsi="Times New Roman"/>
                <w:sz w:val="20"/>
              </w:rPr>
              <w:t>43</w:t>
            </w:r>
          </w:p>
        </w:tc>
      </w:tr>
      <w:tr>
        <w:tc>
          <w:tcPr>
            <w:tcW w:type="dxa" w:w="4500"/>
          </w:tcPr>
          <w:p>
            <w:r>
              <w:rPr>
                <w:rFonts w:ascii="Times New Roman" w:hAnsi="Times New Roman"/>
                <w:sz w:val="20"/>
              </w:rPr>
              <w:t xml:space="preserve">  4.3 Federated Human Report Center (HRC) Topology</w:t>
            </w:r>
          </w:p>
        </w:tc>
        <w:tc>
          <w:tcPr>
            <w:tcW w:type="dxa" w:w="4500"/>
          </w:tcPr>
          <w:p>
            <w:pPr>
              <w:jc w:val="right"/>
            </w:pPr>
            <w:r>
              <w:rPr>
                <w:rFonts w:ascii="Times New Roman" w:hAnsi="Times New Roman"/>
                <w:sz w:val="20"/>
              </w:rPr>
              <w:t>46</w:t>
            </w:r>
          </w:p>
        </w:tc>
      </w:tr>
      <w:tr>
        <w:tc>
          <w:tcPr>
            <w:tcW w:type="dxa" w:w="4500"/>
          </w:tcPr>
          <w:p>
            <w:r>
              <w:rPr>
                <w:rFonts w:ascii="Times New Roman" w:hAnsi="Times New Roman"/>
                <w:sz w:val="20"/>
              </w:rPr>
              <w:t xml:space="preserve">  4.4 Conceptual &amp; Logical Entity-Relationship (ER) Design</w:t>
            </w:r>
          </w:p>
        </w:tc>
        <w:tc>
          <w:tcPr>
            <w:tcW w:type="dxa" w:w="4500"/>
          </w:tcPr>
          <w:p>
            <w:pPr>
              <w:jc w:val="right"/>
            </w:pPr>
            <w:r>
              <w:rPr>
                <w:rFonts w:ascii="Times New Roman" w:hAnsi="Times New Roman"/>
                <w:sz w:val="20"/>
              </w:rPr>
              <w:t>48</w:t>
            </w:r>
          </w:p>
        </w:tc>
      </w:tr>
      <w:tr>
        <w:tc>
          <w:tcPr>
            <w:tcW w:type="dxa" w:w="4500"/>
          </w:tcPr>
          <w:p>
            <w:r>
              <w:rPr>
                <w:rFonts w:ascii="Times New Roman" w:hAnsi="Times New Roman"/>
                <w:sz w:val="20"/>
              </w:rPr>
              <w:t xml:space="preserve">  4.5 Detailed Relational Schema &amp; Data Dictionary</w:t>
            </w:r>
          </w:p>
        </w:tc>
        <w:tc>
          <w:tcPr>
            <w:tcW w:type="dxa" w:w="4500"/>
          </w:tcPr>
          <w:p>
            <w:pPr>
              <w:jc w:val="right"/>
            </w:pPr>
            <w:r>
              <w:rPr>
                <w:rFonts w:ascii="Times New Roman" w:hAnsi="Times New Roman"/>
                <w:sz w:val="20"/>
              </w:rPr>
              <w:t>50</w:t>
            </w:r>
          </w:p>
        </w:tc>
      </w:tr>
      <w:tr>
        <w:tc>
          <w:tcPr>
            <w:tcW w:type="dxa" w:w="4500"/>
          </w:tcPr>
          <w:p>
            <w:r>
              <w:rPr>
                <w:rFonts w:ascii="Times New Roman" w:hAnsi="Times New Roman"/>
                <w:sz w:val="20"/>
              </w:rPr>
              <w:t xml:space="preserve">  4.6 UML Sequence Diagrams: Consultation &amp; AI Workflow</w:t>
            </w:r>
          </w:p>
        </w:tc>
        <w:tc>
          <w:tcPr>
            <w:tcW w:type="dxa" w:w="4500"/>
          </w:tcPr>
          <w:p>
            <w:pPr>
              <w:jc w:val="right"/>
            </w:pPr>
            <w:r>
              <w:rPr>
                <w:rFonts w:ascii="Times New Roman" w:hAnsi="Times New Roman"/>
                <w:sz w:val="20"/>
              </w:rPr>
              <w:t>53</w:t>
            </w:r>
          </w:p>
        </w:tc>
      </w:tr>
      <w:tr>
        <w:tc>
          <w:tcPr>
            <w:tcW w:type="dxa" w:w="4500"/>
          </w:tcPr>
          <w:p>
            <w:r>
              <w:rPr>
                <w:rFonts w:ascii="Times New Roman" w:hAnsi="Times New Roman"/>
                <w:sz w:val="20"/>
              </w:rPr>
              <w:t xml:space="preserve">  4.7 Disease Lifecycle State Transition Machine</w:t>
            </w:r>
          </w:p>
        </w:tc>
        <w:tc>
          <w:tcPr>
            <w:tcW w:type="dxa" w:w="4500"/>
          </w:tcPr>
          <w:p>
            <w:pPr>
              <w:jc w:val="right"/>
            </w:pPr>
            <w:r>
              <w:rPr>
                <w:rFonts w:ascii="Times New Roman" w:hAnsi="Times New Roman"/>
                <w:sz w:val="20"/>
              </w:rPr>
              <w:t>55</w:t>
            </w:r>
          </w:p>
        </w:tc>
      </w:tr>
      <w:tr>
        <w:tc>
          <w:tcPr>
            <w:tcW w:type="dxa" w:w="4500"/>
          </w:tcPr>
          <w:p>
            <w:r>
              <w:rPr>
                <w:rFonts w:ascii="Times New Roman" w:hAnsi="Times New Roman"/>
                <w:sz w:val="20"/>
              </w:rPr>
              <w:t xml:space="preserve">  4.8 Zero-Trust Role-Based Access Control Architecture</w:t>
            </w:r>
          </w:p>
        </w:tc>
        <w:tc>
          <w:tcPr>
            <w:tcW w:type="dxa" w:w="4500"/>
          </w:tcPr>
          <w:p>
            <w:pPr>
              <w:jc w:val="right"/>
            </w:pPr>
            <w:r>
              <w:rPr>
                <w:rFonts w:ascii="Times New Roman" w:hAnsi="Times New Roman"/>
                <w:sz w:val="20"/>
              </w:rPr>
              <w:t>57</w:t>
            </w:r>
          </w:p>
        </w:tc>
      </w:tr>
      <w:tr>
        <w:tc>
          <w:tcPr>
            <w:tcW w:type="dxa" w:w="4500"/>
          </w:tcPr>
          <w:p>
            <w:r>
              <w:rPr>
                <w:rFonts w:ascii="Times New Roman" w:hAnsi="Times New Roman"/>
                <w:sz w:val="20"/>
              </w:rPr>
              <w:t>Chapter 5: Implementation Details &amp; Algorithm Engineering</w:t>
            </w:r>
          </w:p>
        </w:tc>
        <w:tc>
          <w:tcPr>
            <w:tcW w:type="dxa" w:w="4500"/>
          </w:tcPr>
          <w:p>
            <w:pPr>
              <w:jc w:val="right"/>
            </w:pPr>
            <w:r>
              <w:rPr>
                <w:rFonts w:ascii="Times New Roman" w:hAnsi="Times New Roman"/>
                <w:sz w:val="20"/>
              </w:rPr>
              <w:t>59</w:t>
            </w:r>
          </w:p>
        </w:tc>
      </w:tr>
      <w:tr>
        <w:tc>
          <w:tcPr>
            <w:tcW w:type="dxa" w:w="4500"/>
          </w:tcPr>
          <w:p>
            <w:r>
              <w:rPr>
                <w:rFonts w:ascii="Times New Roman" w:hAnsi="Times New Roman"/>
                <w:sz w:val="20"/>
              </w:rPr>
              <w:t xml:space="preserve">  5.1 Codebase Organization &amp; Modular Directory Hierarchy</w:t>
            </w:r>
          </w:p>
        </w:tc>
        <w:tc>
          <w:tcPr>
            <w:tcW w:type="dxa" w:w="4500"/>
          </w:tcPr>
          <w:p>
            <w:pPr>
              <w:jc w:val="right"/>
            </w:pPr>
            <w:r>
              <w:rPr>
                <w:rFonts w:ascii="Times New Roman" w:hAnsi="Times New Roman"/>
                <w:sz w:val="20"/>
              </w:rPr>
              <w:t>59</w:t>
            </w:r>
          </w:p>
        </w:tc>
      </w:tr>
      <w:tr>
        <w:tc>
          <w:tcPr>
            <w:tcW w:type="dxa" w:w="4500"/>
          </w:tcPr>
          <w:p>
            <w:r>
              <w:rPr>
                <w:rFonts w:ascii="Times New Roman" w:hAnsi="Times New Roman"/>
                <w:sz w:val="20"/>
              </w:rPr>
              <w:t xml:space="preserve">  5.2 Core Backend Services &amp; Modular Domain Routers</w:t>
            </w:r>
          </w:p>
        </w:tc>
        <w:tc>
          <w:tcPr>
            <w:tcW w:type="dxa" w:w="4500"/>
          </w:tcPr>
          <w:p>
            <w:pPr>
              <w:jc w:val="right"/>
            </w:pPr>
            <w:r>
              <w:rPr>
                <w:rFonts w:ascii="Times New Roman" w:hAnsi="Times New Roman"/>
                <w:sz w:val="20"/>
              </w:rPr>
              <w:t>61</w:t>
            </w:r>
          </w:p>
        </w:tc>
      </w:tr>
      <w:tr>
        <w:tc>
          <w:tcPr>
            <w:tcW w:type="dxa" w:w="4500"/>
          </w:tcPr>
          <w:p>
            <w:r>
              <w:rPr>
                <w:rFonts w:ascii="Times New Roman" w:hAnsi="Times New Roman"/>
                <w:sz w:val="20"/>
              </w:rPr>
              <w:t xml:space="preserve">  5.3 Clinical AI Copilot &amp; Trajectory Computing Algorithms</w:t>
            </w:r>
          </w:p>
        </w:tc>
        <w:tc>
          <w:tcPr>
            <w:tcW w:type="dxa" w:w="4500"/>
          </w:tcPr>
          <w:p>
            <w:pPr>
              <w:jc w:val="right"/>
            </w:pPr>
            <w:r>
              <w:rPr>
                <w:rFonts w:ascii="Times New Roman" w:hAnsi="Times New Roman"/>
                <w:sz w:val="20"/>
              </w:rPr>
              <w:t>64</w:t>
            </w:r>
          </w:p>
        </w:tc>
      </w:tr>
      <w:tr>
        <w:tc>
          <w:tcPr>
            <w:tcW w:type="dxa" w:w="4500"/>
          </w:tcPr>
          <w:p>
            <w:r>
              <w:rPr>
                <w:rFonts w:ascii="Times New Roman" w:hAnsi="Times New Roman"/>
                <w:sz w:val="20"/>
              </w:rPr>
              <w:t xml:space="preserve">  5.4 Frontend Specialist Workstation &amp; React Architecture</w:t>
            </w:r>
          </w:p>
        </w:tc>
        <w:tc>
          <w:tcPr>
            <w:tcW w:type="dxa" w:w="4500"/>
          </w:tcPr>
          <w:p>
            <w:pPr>
              <w:jc w:val="right"/>
            </w:pPr>
            <w:r>
              <w:rPr>
                <w:rFonts w:ascii="Times New Roman" w:hAnsi="Times New Roman"/>
                <w:sz w:val="20"/>
              </w:rPr>
              <w:t>67</w:t>
            </w:r>
          </w:p>
        </w:tc>
      </w:tr>
      <w:tr>
        <w:tc>
          <w:tcPr>
            <w:tcW w:type="dxa" w:w="4500"/>
          </w:tcPr>
          <w:p>
            <w:r>
              <w:rPr>
                <w:rFonts w:ascii="Times New Roman" w:hAnsi="Times New Roman"/>
                <w:sz w:val="20"/>
              </w:rPr>
              <w:t xml:space="preserve">  5.5 Luxury Clinical UI Design System &amp; Micro-Animations</w:t>
            </w:r>
          </w:p>
        </w:tc>
        <w:tc>
          <w:tcPr>
            <w:tcW w:type="dxa" w:w="4500"/>
          </w:tcPr>
          <w:p>
            <w:pPr>
              <w:jc w:val="right"/>
            </w:pPr>
            <w:r>
              <w:rPr>
                <w:rFonts w:ascii="Times New Roman" w:hAnsi="Times New Roman"/>
                <w:sz w:val="20"/>
              </w:rPr>
              <w:t>69</w:t>
            </w:r>
          </w:p>
        </w:tc>
      </w:tr>
      <w:tr>
        <w:tc>
          <w:tcPr>
            <w:tcW w:type="dxa" w:w="4500"/>
          </w:tcPr>
          <w:p>
            <w:r>
              <w:rPr>
                <w:rFonts w:ascii="Times New Roman" w:hAnsi="Times New Roman"/>
                <w:sz w:val="20"/>
              </w:rPr>
              <w:t xml:space="preserve">  5.6 Coding Conventions, Oxlint &amp; Version Control</w:t>
            </w:r>
          </w:p>
        </w:tc>
        <w:tc>
          <w:tcPr>
            <w:tcW w:type="dxa" w:w="4500"/>
          </w:tcPr>
          <w:p>
            <w:pPr>
              <w:jc w:val="right"/>
            </w:pPr>
            <w:r>
              <w:rPr>
                <w:rFonts w:ascii="Times New Roman" w:hAnsi="Times New Roman"/>
                <w:sz w:val="20"/>
              </w:rPr>
              <w:t>71</w:t>
            </w:r>
          </w:p>
        </w:tc>
      </w:tr>
      <w:tr>
        <w:tc>
          <w:tcPr>
            <w:tcW w:type="dxa" w:w="4500"/>
          </w:tcPr>
          <w:p>
            <w:r>
              <w:rPr>
                <w:rFonts w:ascii="Times New Roman" w:hAnsi="Times New Roman"/>
                <w:sz w:val="20"/>
              </w:rPr>
              <w:t>Chapter 6: Results, Experimental Verification &amp; Performance Analysis</w:t>
            </w:r>
          </w:p>
        </w:tc>
        <w:tc>
          <w:tcPr>
            <w:tcW w:type="dxa" w:w="4500"/>
          </w:tcPr>
          <w:p>
            <w:pPr>
              <w:jc w:val="right"/>
            </w:pPr>
            <w:r>
              <w:rPr>
                <w:rFonts w:ascii="Times New Roman" w:hAnsi="Times New Roman"/>
                <w:sz w:val="20"/>
              </w:rPr>
              <w:t>73</w:t>
            </w:r>
          </w:p>
        </w:tc>
      </w:tr>
      <w:tr>
        <w:tc>
          <w:tcPr>
            <w:tcW w:type="dxa" w:w="4500"/>
          </w:tcPr>
          <w:p>
            <w:r>
              <w:rPr>
                <w:rFonts w:ascii="Times New Roman" w:hAnsi="Times New Roman"/>
                <w:sz w:val="20"/>
              </w:rPr>
              <w:t xml:space="preserve">  6.1 Test Methodology, Environments &amp; Test Harness</w:t>
            </w:r>
          </w:p>
        </w:tc>
        <w:tc>
          <w:tcPr>
            <w:tcW w:type="dxa" w:w="4500"/>
          </w:tcPr>
          <w:p>
            <w:pPr>
              <w:jc w:val="right"/>
            </w:pPr>
            <w:r>
              <w:rPr>
                <w:rFonts w:ascii="Times New Roman" w:hAnsi="Times New Roman"/>
                <w:sz w:val="20"/>
              </w:rPr>
              <w:t>73</w:t>
            </w:r>
          </w:p>
        </w:tc>
      </w:tr>
      <w:tr>
        <w:tc>
          <w:tcPr>
            <w:tcW w:type="dxa" w:w="4500"/>
          </w:tcPr>
          <w:p>
            <w:r>
              <w:rPr>
                <w:rFonts w:ascii="Times New Roman" w:hAnsi="Times New Roman"/>
                <w:sz w:val="20"/>
              </w:rPr>
              <w:t xml:space="preserve">  6.2 Comprehensive Test Case Execution Matrix</w:t>
            </w:r>
          </w:p>
        </w:tc>
        <w:tc>
          <w:tcPr>
            <w:tcW w:type="dxa" w:w="4500"/>
          </w:tcPr>
          <w:p>
            <w:pPr>
              <w:jc w:val="right"/>
            </w:pPr>
            <w:r>
              <w:rPr>
                <w:rFonts w:ascii="Times New Roman" w:hAnsi="Times New Roman"/>
                <w:sz w:val="20"/>
              </w:rPr>
              <w:t>75</w:t>
            </w:r>
          </w:p>
        </w:tc>
      </w:tr>
      <w:tr>
        <w:tc>
          <w:tcPr>
            <w:tcW w:type="dxa" w:w="4500"/>
          </w:tcPr>
          <w:p>
            <w:r>
              <w:rPr>
                <w:rFonts w:ascii="Times New Roman" w:hAnsi="Times New Roman"/>
                <w:sz w:val="20"/>
              </w:rPr>
              <w:t xml:space="preserve">  6.3 Quantitative Performance Benchmarking</w:t>
            </w:r>
          </w:p>
        </w:tc>
        <w:tc>
          <w:tcPr>
            <w:tcW w:type="dxa" w:w="4500"/>
          </w:tcPr>
          <w:p>
            <w:pPr>
              <w:jc w:val="right"/>
            </w:pPr>
            <w:r>
              <w:rPr>
                <w:rFonts w:ascii="Times New Roman" w:hAnsi="Times New Roman"/>
                <w:sz w:val="20"/>
              </w:rPr>
              <w:t>77</w:t>
            </w:r>
          </w:p>
        </w:tc>
      </w:tr>
      <w:tr>
        <w:tc>
          <w:tcPr>
            <w:tcW w:type="dxa" w:w="4500"/>
          </w:tcPr>
          <w:p>
            <w:r>
              <w:rPr>
                <w:rFonts w:ascii="Times New Roman" w:hAnsi="Times New Roman"/>
                <w:sz w:val="20"/>
              </w:rPr>
              <w:t xml:space="preserve">  6.4 Comprehensive Visual System Walkthrough (All 17 Figures)</w:t>
            </w:r>
          </w:p>
        </w:tc>
        <w:tc>
          <w:tcPr>
            <w:tcW w:type="dxa" w:w="4500"/>
          </w:tcPr>
          <w:p>
            <w:pPr>
              <w:jc w:val="right"/>
            </w:pPr>
            <w:r>
              <w:rPr>
                <w:rFonts w:ascii="Times New Roman" w:hAnsi="Times New Roman"/>
                <w:sz w:val="20"/>
              </w:rPr>
              <w:t>79</w:t>
            </w:r>
          </w:p>
        </w:tc>
      </w:tr>
      <w:tr>
        <w:tc>
          <w:tcPr>
            <w:tcW w:type="dxa" w:w="4500"/>
          </w:tcPr>
          <w:p>
            <w:r>
              <w:rPr>
                <w:rFonts w:ascii="Times New Roman" w:hAnsi="Times New Roman"/>
                <w:sz w:val="20"/>
              </w:rPr>
              <w:t xml:space="preserve">  6.5 Clinical Validation Case Studies</w:t>
            </w:r>
          </w:p>
        </w:tc>
        <w:tc>
          <w:tcPr>
            <w:tcW w:type="dxa" w:w="4500"/>
          </w:tcPr>
          <w:p>
            <w:pPr>
              <w:jc w:val="right"/>
            </w:pPr>
            <w:r>
              <w:rPr>
                <w:rFonts w:ascii="Times New Roman" w:hAnsi="Times New Roman"/>
                <w:sz w:val="20"/>
              </w:rPr>
              <w:t>84</w:t>
            </w:r>
          </w:p>
        </w:tc>
      </w:tr>
      <w:tr>
        <w:tc>
          <w:tcPr>
            <w:tcW w:type="dxa" w:w="4500"/>
          </w:tcPr>
          <w:p>
            <w:r>
              <w:rPr>
                <w:rFonts w:ascii="Times New Roman" w:hAnsi="Times New Roman"/>
                <w:sz w:val="20"/>
              </w:rPr>
              <w:t>Chapter 7: Discussion &amp; Comparative Evaluation</w:t>
            </w:r>
          </w:p>
        </w:tc>
        <w:tc>
          <w:tcPr>
            <w:tcW w:type="dxa" w:w="4500"/>
          </w:tcPr>
          <w:p>
            <w:pPr>
              <w:jc w:val="right"/>
            </w:pPr>
            <w:r>
              <w:rPr>
                <w:rFonts w:ascii="Times New Roman" w:hAnsi="Times New Roman"/>
                <w:sz w:val="20"/>
              </w:rPr>
              <w:t>87</w:t>
            </w:r>
          </w:p>
        </w:tc>
      </w:tr>
      <w:tr>
        <w:tc>
          <w:tcPr>
            <w:tcW w:type="dxa" w:w="4500"/>
          </w:tcPr>
          <w:p>
            <w:r>
              <w:rPr>
                <w:rFonts w:ascii="Times New Roman" w:hAnsi="Times New Roman"/>
                <w:sz w:val="20"/>
              </w:rPr>
              <w:t xml:space="preserve">  7.1 Key Technical Findings &amp; Observations</w:t>
            </w:r>
          </w:p>
        </w:tc>
        <w:tc>
          <w:tcPr>
            <w:tcW w:type="dxa" w:w="4500"/>
          </w:tcPr>
          <w:p>
            <w:pPr>
              <w:jc w:val="right"/>
            </w:pPr>
            <w:r>
              <w:rPr>
                <w:rFonts w:ascii="Times New Roman" w:hAnsi="Times New Roman"/>
                <w:sz w:val="20"/>
              </w:rPr>
              <w:t>87</w:t>
            </w:r>
          </w:p>
        </w:tc>
      </w:tr>
      <w:tr>
        <w:tc>
          <w:tcPr>
            <w:tcW w:type="dxa" w:w="4500"/>
          </w:tcPr>
          <w:p>
            <w:r>
              <w:rPr>
                <w:rFonts w:ascii="Times New Roman" w:hAnsi="Times New Roman"/>
                <w:sz w:val="20"/>
              </w:rPr>
              <w:t xml:space="preserve">  7.2 Architectural Advantages Over Monolithic EHRs</w:t>
            </w:r>
          </w:p>
        </w:tc>
        <w:tc>
          <w:tcPr>
            <w:tcW w:type="dxa" w:w="4500"/>
          </w:tcPr>
          <w:p>
            <w:pPr>
              <w:jc w:val="right"/>
            </w:pPr>
            <w:r>
              <w:rPr>
                <w:rFonts w:ascii="Times New Roman" w:hAnsi="Times New Roman"/>
                <w:sz w:val="20"/>
              </w:rPr>
              <w:t>88</w:t>
            </w:r>
          </w:p>
        </w:tc>
      </w:tr>
      <w:tr>
        <w:tc>
          <w:tcPr>
            <w:tcW w:type="dxa" w:w="4500"/>
          </w:tcPr>
          <w:p>
            <w:r>
              <w:rPr>
                <w:rFonts w:ascii="Times New Roman" w:hAnsi="Times New Roman"/>
                <w:sz w:val="20"/>
              </w:rPr>
              <w:t xml:space="preserve">  7.3 Trade-offs in Neuro-Symbolic AI vs. Generative Models</w:t>
            </w:r>
          </w:p>
        </w:tc>
        <w:tc>
          <w:tcPr>
            <w:tcW w:type="dxa" w:w="4500"/>
          </w:tcPr>
          <w:p>
            <w:pPr>
              <w:jc w:val="right"/>
            </w:pPr>
            <w:r>
              <w:rPr>
                <w:rFonts w:ascii="Times New Roman" w:hAnsi="Times New Roman"/>
                <w:sz w:val="20"/>
              </w:rPr>
              <w:t>89</w:t>
            </w:r>
          </w:p>
        </w:tc>
      </w:tr>
      <w:tr>
        <w:tc>
          <w:tcPr>
            <w:tcW w:type="dxa" w:w="4500"/>
          </w:tcPr>
          <w:p>
            <w:r>
              <w:rPr>
                <w:rFonts w:ascii="Times New Roman" w:hAnsi="Times New Roman"/>
                <w:sz w:val="20"/>
              </w:rPr>
              <w:t xml:space="preserve">  7.4 Societal, Economic &amp; Clinical Impact</w:t>
            </w:r>
          </w:p>
        </w:tc>
        <w:tc>
          <w:tcPr>
            <w:tcW w:type="dxa" w:w="4500"/>
          </w:tcPr>
          <w:p>
            <w:pPr>
              <w:jc w:val="right"/>
            </w:pPr>
            <w:r>
              <w:rPr>
                <w:rFonts w:ascii="Times New Roman" w:hAnsi="Times New Roman"/>
                <w:sz w:val="20"/>
              </w:rPr>
              <w:t>90</w:t>
            </w:r>
          </w:p>
        </w:tc>
      </w:tr>
      <w:tr>
        <w:tc>
          <w:tcPr>
            <w:tcW w:type="dxa" w:w="4500"/>
          </w:tcPr>
          <w:p>
            <w:r>
              <w:rPr>
                <w:rFonts w:ascii="Times New Roman" w:hAnsi="Times New Roman"/>
                <w:sz w:val="20"/>
              </w:rPr>
              <w:t>Chapter 8: Conclusion &amp; Future Scope</w:t>
            </w:r>
          </w:p>
        </w:tc>
        <w:tc>
          <w:tcPr>
            <w:tcW w:type="dxa" w:w="4500"/>
          </w:tcPr>
          <w:p>
            <w:pPr>
              <w:jc w:val="right"/>
            </w:pPr>
            <w:r>
              <w:rPr>
                <w:rFonts w:ascii="Times New Roman" w:hAnsi="Times New Roman"/>
                <w:sz w:val="20"/>
              </w:rPr>
              <w:t>92</w:t>
            </w:r>
          </w:p>
        </w:tc>
      </w:tr>
      <w:tr>
        <w:tc>
          <w:tcPr>
            <w:tcW w:type="dxa" w:w="4500"/>
          </w:tcPr>
          <w:p>
            <w:r>
              <w:rPr>
                <w:rFonts w:ascii="Times New Roman" w:hAnsi="Times New Roman"/>
                <w:sz w:val="20"/>
              </w:rPr>
              <w:t xml:space="preserve">  8.1 Summary of Contributions</w:t>
            </w:r>
          </w:p>
        </w:tc>
        <w:tc>
          <w:tcPr>
            <w:tcW w:type="dxa" w:w="4500"/>
          </w:tcPr>
          <w:p>
            <w:pPr>
              <w:jc w:val="right"/>
            </w:pPr>
            <w:r>
              <w:rPr>
                <w:rFonts w:ascii="Times New Roman" w:hAnsi="Times New Roman"/>
                <w:sz w:val="20"/>
              </w:rPr>
              <w:t>92</w:t>
            </w:r>
          </w:p>
        </w:tc>
      </w:tr>
      <w:tr>
        <w:tc>
          <w:tcPr>
            <w:tcW w:type="dxa" w:w="4500"/>
          </w:tcPr>
          <w:p>
            <w:r>
              <w:rPr>
                <w:rFonts w:ascii="Times New Roman" w:hAnsi="Times New Roman"/>
                <w:sz w:val="20"/>
              </w:rPr>
              <w:t xml:space="preserve">  8.2 Course Outcome Attainment Verification (CO1 – CO5)</w:t>
            </w:r>
          </w:p>
        </w:tc>
        <w:tc>
          <w:tcPr>
            <w:tcW w:type="dxa" w:w="4500"/>
          </w:tcPr>
          <w:p>
            <w:pPr>
              <w:jc w:val="right"/>
            </w:pPr>
            <w:r>
              <w:rPr>
                <w:rFonts w:ascii="Times New Roman" w:hAnsi="Times New Roman"/>
                <w:sz w:val="20"/>
              </w:rPr>
              <w:t>93</w:t>
            </w:r>
          </w:p>
        </w:tc>
      </w:tr>
      <w:tr>
        <w:tc>
          <w:tcPr>
            <w:tcW w:type="dxa" w:w="4500"/>
          </w:tcPr>
          <w:p>
            <w:r>
              <w:rPr>
                <w:rFonts w:ascii="Times New Roman" w:hAnsi="Times New Roman"/>
                <w:sz w:val="20"/>
              </w:rPr>
              <w:t xml:space="preserve">  8.3 Limitations of the Current Prototype</w:t>
            </w:r>
          </w:p>
        </w:tc>
        <w:tc>
          <w:tcPr>
            <w:tcW w:type="dxa" w:w="4500"/>
          </w:tcPr>
          <w:p>
            <w:pPr>
              <w:jc w:val="right"/>
            </w:pPr>
            <w:r>
              <w:rPr>
                <w:rFonts w:ascii="Times New Roman" w:hAnsi="Times New Roman"/>
                <w:sz w:val="20"/>
              </w:rPr>
              <w:t>94</w:t>
            </w:r>
          </w:p>
        </w:tc>
      </w:tr>
      <w:tr>
        <w:tc>
          <w:tcPr>
            <w:tcW w:type="dxa" w:w="4500"/>
          </w:tcPr>
          <w:p>
            <w:r>
              <w:rPr>
                <w:rFonts w:ascii="Times New Roman" w:hAnsi="Times New Roman"/>
                <w:sz w:val="20"/>
              </w:rPr>
              <w:t xml:space="preserve">  8.4 Future Research &amp; Industry Roadmap</w:t>
            </w:r>
          </w:p>
        </w:tc>
        <w:tc>
          <w:tcPr>
            <w:tcW w:type="dxa" w:w="4500"/>
          </w:tcPr>
          <w:p>
            <w:pPr>
              <w:jc w:val="right"/>
            </w:pPr>
            <w:r>
              <w:rPr>
                <w:rFonts w:ascii="Times New Roman" w:hAnsi="Times New Roman"/>
                <w:sz w:val="20"/>
              </w:rPr>
              <w:t>95</w:t>
            </w:r>
          </w:p>
        </w:tc>
      </w:tr>
      <w:tr>
        <w:tc>
          <w:tcPr>
            <w:tcW w:type="dxa" w:w="4500"/>
          </w:tcPr>
          <w:p>
            <w:r>
              <w:rPr>
                <w:rFonts w:ascii="Times New Roman" w:hAnsi="Times New Roman"/>
                <w:sz w:val="20"/>
              </w:rPr>
              <w:t>Chapter 9: References &amp; Bibliography</w:t>
            </w:r>
          </w:p>
        </w:tc>
        <w:tc>
          <w:tcPr>
            <w:tcW w:type="dxa" w:w="4500"/>
          </w:tcPr>
          <w:p>
            <w:pPr>
              <w:jc w:val="right"/>
            </w:pPr>
            <w:r>
              <w:rPr>
                <w:rFonts w:ascii="Times New Roman" w:hAnsi="Times New Roman"/>
                <w:sz w:val="20"/>
              </w:rPr>
              <w:t>97</w:t>
            </w:r>
          </w:p>
        </w:tc>
      </w:tr>
      <w:tr>
        <w:tc>
          <w:tcPr>
            <w:tcW w:type="dxa" w:w="4500"/>
          </w:tcPr>
          <w:p>
            <w:r>
              <w:rPr>
                <w:rFonts w:ascii="Times New Roman" w:hAnsi="Times New Roman"/>
                <w:sz w:val="20"/>
              </w:rPr>
              <w:t>Appendix A: Algorithmic Source Code Excerpts</w:t>
            </w:r>
          </w:p>
        </w:tc>
        <w:tc>
          <w:tcPr>
            <w:tcW w:type="dxa" w:w="4500"/>
          </w:tcPr>
          <w:p>
            <w:pPr>
              <w:jc w:val="right"/>
            </w:pPr>
            <w:r>
              <w:rPr>
                <w:rFonts w:ascii="Times New Roman" w:hAnsi="Times New Roman"/>
                <w:sz w:val="20"/>
              </w:rPr>
              <w:t>100</w:t>
            </w:r>
          </w:p>
        </w:tc>
      </w:tr>
      <w:tr>
        <w:tc>
          <w:tcPr>
            <w:tcW w:type="dxa" w:w="4500"/>
          </w:tcPr>
          <w:p>
            <w:r>
              <w:rPr>
                <w:rFonts w:ascii="Times New Roman" w:hAnsi="Times New Roman"/>
                <w:sz w:val="20"/>
              </w:rPr>
              <w:t>Appendix B: RESTful API Endpoint Specifications</w:t>
            </w:r>
          </w:p>
        </w:tc>
        <w:tc>
          <w:tcPr>
            <w:tcW w:type="dxa" w:w="4500"/>
          </w:tcPr>
          <w:p>
            <w:pPr>
              <w:jc w:val="right"/>
            </w:pPr>
            <w:r>
              <w:rPr>
                <w:rFonts w:ascii="Times New Roman" w:hAnsi="Times New Roman"/>
                <w:sz w:val="20"/>
              </w:rPr>
              <w:t>102</w:t>
            </w:r>
          </w:p>
        </w:tc>
      </w:tr>
    </w:tbl>
    <w:p>
      <w:r>
        <w:br w:type="page"/>
      </w:r>
    </w:p>
    <w:p>
      <w:pPr>
        <w:pStyle w:val="Heading1"/>
        <w:jc w:val="center"/>
      </w:pPr>
      <w:r>
        <w:t>LIST OF FIGURES</w:t>
      </w:r>
    </w:p>
    <w:tbl>
      <w:tblPr>
        <w:tblW w:type="auto" w:w="0"/>
        <w:jc w:val="center"/>
        <w:tblLook w:firstColumn="1" w:firstRow="1" w:lastColumn="0" w:lastRow="0" w:noHBand="0" w:noVBand="1" w:val="04A0"/>
      </w:tblPr>
      <w:tblGrid>
        <w:gridCol w:w="3000"/>
        <w:gridCol w:w="3000"/>
        <w:gridCol w:w="3000"/>
      </w:tblGrid>
      <w:tr>
        <w:tc>
          <w:tcPr>
            <w:tcW w:type="dxa" w:w="3000"/>
          </w:tcPr>
          <w:p>
            <w:r>
              <w:t>Figure 4.1</w:t>
            </w:r>
          </w:p>
        </w:tc>
        <w:tc>
          <w:tcPr>
            <w:tcW w:type="dxa" w:w="3000"/>
          </w:tcPr>
          <w:p>
            <w:r>
              <w:t>Enterprise 4-Tier System Architecture Diagram</w:t>
            </w:r>
          </w:p>
        </w:tc>
        <w:tc>
          <w:tcPr>
            <w:tcW w:type="dxa" w:w="3000"/>
          </w:tcPr>
          <w:p>
            <w:pPr>
              <w:jc w:val="right"/>
            </w:pPr>
            <w:r>
              <w:t>42</w:t>
            </w:r>
          </w:p>
        </w:tc>
      </w:tr>
      <w:tr>
        <w:tc>
          <w:tcPr>
            <w:tcW w:type="dxa" w:w="3000"/>
          </w:tcPr>
          <w:p>
            <w:r>
              <w:t>Figure 4.2</w:t>
            </w:r>
          </w:p>
        </w:tc>
        <w:tc>
          <w:tcPr>
            <w:tcW w:type="dxa" w:w="3000"/>
          </w:tcPr>
          <w:p>
            <w:r>
              <w:t>Data Flow Diagram Level 0: Context Level Diagram</w:t>
            </w:r>
          </w:p>
        </w:tc>
        <w:tc>
          <w:tcPr>
            <w:tcW w:type="dxa" w:w="3000"/>
          </w:tcPr>
          <w:p>
            <w:pPr>
              <w:jc w:val="right"/>
            </w:pPr>
            <w:r>
              <w:t>44</w:t>
            </w:r>
          </w:p>
        </w:tc>
      </w:tr>
      <w:tr>
        <w:tc>
          <w:tcPr>
            <w:tcW w:type="dxa" w:w="3000"/>
          </w:tcPr>
          <w:p>
            <w:r>
              <w:t>Figure 4.3</w:t>
            </w:r>
          </w:p>
        </w:tc>
        <w:tc>
          <w:tcPr>
            <w:tcW w:type="dxa" w:w="3000"/>
          </w:tcPr>
          <w:p>
            <w:r>
              <w:t>Data Flow Diagram Level 1: Core Subsystems Data Flow</w:t>
            </w:r>
          </w:p>
        </w:tc>
        <w:tc>
          <w:tcPr>
            <w:tcW w:type="dxa" w:w="3000"/>
          </w:tcPr>
          <w:p>
            <w:pPr>
              <w:jc w:val="right"/>
            </w:pPr>
            <w:r>
              <w:t>45</w:t>
            </w:r>
          </w:p>
        </w:tc>
      </w:tr>
      <w:tr>
        <w:tc>
          <w:tcPr>
            <w:tcW w:type="dxa" w:w="3000"/>
          </w:tcPr>
          <w:p>
            <w:r>
              <w:t>Figure 4.4</w:t>
            </w:r>
          </w:p>
        </w:tc>
        <w:tc>
          <w:tcPr>
            <w:tcW w:type="dxa" w:w="3000"/>
          </w:tcPr>
          <w:p>
            <w:r>
              <w:t>MediSutra Federated Human Report Center Network Topology</w:t>
            </w:r>
          </w:p>
        </w:tc>
        <w:tc>
          <w:tcPr>
            <w:tcW w:type="dxa" w:w="3000"/>
          </w:tcPr>
          <w:p>
            <w:pPr>
              <w:jc w:val="right"/>
            </w:pPr>
            <w:r>
              <w:t>47</w:t>
            </w:r>
          </w:p>
        </w:tc>
      </w:tr>
      <w:tr>
        <w:tc>
          <w:tcPr>
            <w:tcW w:type="dxa" w:w="3000"/>
          </w:tcPr>
          <w:p>
            <w:r>
              <w:t>Figure 4.5</w:t>
            </w:r>
          </w:p>
        </w:tc>
        <w:tc>
          <w:tcPr>
            <w:tcW w:type="dxa" w:w="3000"/>
          </w:tcPr>
          <w:p>
            <w:r>
              <w:t>Entity-Relationship (ER) Conceptual Schema Model</w:t>
            </w:r>
          </w:p>
        </w:tc>
        <w:tc>
          <w:tcPr>
            <w:tcW w:type="dxa" w:w="3000"/>
          </w:tcPr>
          <w:p>
            <w:pPr>
              <w:jc w:val="right"/>
            </w:pPr>
            <w:r>
              <w:t>49</w:t>
            </w:r>
          </w:p>
        </w:tc>
      </w:tr>
      <w:tr>
        <w:tc>
          <w:tcPr>
            <w:tcW w:type="dxa" w:w="3000"/>
          </w:tcPr>
          <w:p>
            <w:r>
              <w:t>Figure 4.6</w:t>
            </w:r>
          </w:p>
        </w:tc>
        <w:tc>
          <w:tcPr>
            <w:tcW w:type="dxa" w:w="3000"/>
          </w:tcPr>
          <w:p>
            <w:r>
              <w:t>UML Sequence Diagram: Clinical Consultation &amp; AI Synthesis Flow</w:t>
            </w:r>
          </w:p>
        </w:tc>
        <w:tc>
          <w:tcPr>
            <w:tcW w:type="dxa" w:w="3000"/>
          </w:tcPr>
          <w:p>
            <w:pPr>
              <w:jc w:val="right"/>
            </w:pPr>
            <w:r>
              <w:t>54</w:t>
            </w:r>
          </w:p>
        </w:tc>
      </w:tr>
      <w:tr>
        <w:tc>
          <w:tcPr>
            <w:tcW w:type="dxa" w:w="3000"/>
          </w:tcPr>
          <w:p>
            <w:r>
              <w:t>Figure 4.7</w:t>
            </w:r>
          </w:p>
        </w:tc>
        <w:tc>
          <w:tcPr>
            <w:tcW w:type="dxa" w:w="3000"/>
          </w:tcPr>
          <w:p>
            <w:r>
              <w:t>Disease Lifecycle State Transition Machine (Active vs. Cured)</w:t>
            </w:r>
          </w:p>
        </w:tc>
        <w:tc>
          <w:tcPr>
            <w:tcW w:type="dxa" w:w="3000"/>
          </w:tcPr>
          <w:p>
            <w:pPr>
              <w:jc w:val="right"/>
            </w:pPr>
            <w:r>
              <w:t>56</w:t>
            </w:r>
          </w:p>
        </w:tc>
      </w:tr>
      <w:tr>
        <w:tc>
          <w:tcPr>
            <w:tcW w:type="dxa" w:w="3000"/>
          </w:tcPr>
          <w:p>
            <w:r>
              <w:t>Figure 4.8</w:t>
            </w:r>
          </w:p>
        </w:tc>
        <w:tc>
          <w:tcPr>
            <w:tcW w:type="dxa" w:w="3000"/>
          </w:tcPr>
          <w:p>
            <w:r>
              <w:t>Zero-Trust Role-Based Access Control Matrix</w:t>
            </w:r>
          </w:p>
        </w:tc>
        <w:tc>
          <w:tcPr>
            <w:tcW w:type="dxa" w:w="3000"/>
          </w:tcPr>
          <w:p>
            <w:pPr>
              <w:jc w:val="right"/>
            </w:pPr>
            <w:r>
              <w:t>58</w:t>
            </w:r>
          </w:p>
        </w:tc>
      </w:tr>
      <w:tr>
        <w:tc>
          <w:tcPr>
            <w:tcW w:type="dxa" w:w="3000"/>
          </w:tcPr>
          <w:p>
            <w:r>
              <w:t>Figure 5.1</w:t>
            </w:r>
          </w:p>
        </w:tc>
        <w:tc>
          <w:tcPr>
            <w:tcW w:type="dxa" w:w="3000"/>
          </w:tcPr>
          <w:p>
            <w:r>
              <w:t>Deterministic Clinical AI Decision-Support Flowchart</w:t>
            </w:r>
          </w:p>
        </w:tc>
        <w:tc>
          <w:tcPr>
            <w:tcW w:type="dxa" w:w="3000"/>
          </w:tcPr>
          <w:p>
            <w:pPr>
              <w:jc w:val="right"/>
            </w:pPr>
            <w:r>
              <w:t>65</w:t>
            </w:r>
          </w:p>
        </w:tc>
      </w:tr>
      <w:tr>
        <w:tc>
          <w:tcPr>
            <w:tcW w:type="dxa" w:w="3000"/>
          </w:tcPr>
          <w:p>
            <w:r>
              <w:t>Figure 5.2</w:t>
            </w:r>
          </w:p>
        </w:tc>
        <w:tc>
          <w:tcPr>
            <w:tcW w:type="dxa" w:w="3000"/>
          </w:tcPr>
          <w:p>
            <w:r>
              <w:t>Longitudinal Biomarker Trajectory Analysis (HbA1c &amp; Fasting Glucose)</w:t>
            </w:r>
          </w:p>
        </w:tc>
        <w:tc>
          <w:tcPr>
            <w:tcW w:type="dxa" w:w="3000"/>
          </w:tcPr>
          <w:p>
            <w:pPr>
              <w:jc w:val="right"/>
            </w:pPr>
            <w:r>
              <w:t>66</w:t>
            </w:r>
          </w:p>
        </w:tc>
      </w:tr>
      <w:tr>
        <w:tc>
          <w:tcPr>
            <w:tcW w:type="dxa" w:w="3000"/>
          </w:tcPr>
          <w:p>
            <w:r>
              <w:t>Figure 6.1</w:t>
            </w:r>
          </w:p>
        </w:tc>
        <w:tc>
          <w:tcPr>
            <w:tcW w:type="dxa" w:w="3000"/>
          </w:tcPr>
          <w:p>
            <w:r>
              <w:t>Clinical AI Copilot &amp; Longitudinal Report Analyzer Workstation</w:t>
            </w:r>
          </w:p>
        </w:tc>
        <w:tc>
          <w:tcPr>
            <w:tcW w:type="dxa" w:w="3000"/>
          </w:tcPr>
          <w:p>
            <w:pPr>
              <w:jc w:val="right"/>
            </w:pPr>
            <w:r>
              <w:t>80</w:t>
            </w:r>
          </w:p>
        </w:tc>
      </w:tr>
      <w:tr>
        <w:tc>
          <w:tcPr>
            <w:tcW w:type="dxa" w:w="3000"/>
          </w:tcPr>
          <w:p>
            <w:r>
              <w:t>Figure 6.2</w:t>
            </w:r>
          </w:p>
        </w:tc>
        <w:tc>
          <w:tcPr>
            <w:tcW w:type="dxa" w:w="3000"/>
          </w:tcPr>
          <w:p>
            <w:r>
              <w:t>Clinical Intelligence Synthesis Report with Lab Trajectories</w:t>
            </w:r>
          </w:p>
        </w:tc>
        <w:tc>
          <w:tcPr>
            <w:tcW w:type="dxa" w:w="3000"/>
          </w:tcPr>
          <w:p>
            <w:pPr>
              <w:jc w:val="right"/>
            </w:pPr>
            <w:r>
              <w:t>81</w:t>
            </w:r>
          </w:p>
        </w:tc>
      </w:tr>
      <w:tr>
        <w:tc>
          <w:tcPr>
            <w:tcW w:type="dxa" w:w="3000"/>
          </w:tcPr>
          <w:p>
            <w:r>
              <w:t>Figure 6.3</w:t>
            </w:r>
          </w:p>
        </w:tc>
        <w:tc>
          <w:tcPr>
            <w:tcW w:type="dxa" w:w="3000"/>
          </w:tcPr>
          <w:p>
            <w:r>
              <w:t>Doctor Specialist Station &amp; Longitudinal Patient Dossier</w:t>
            </w:r>
          </w:p>
        </w:tc>
        <w:tc>
          <w:tcPr>
            <w:tcW w:type="dxa" w:w="3000"/>
          </w:tcPr>
          <w:p>
            <w:pPr>
              <w:jc w:val="right"/>
            </w:pPr>
            <w:r>
              <w:t>81</w:t>
            </w:r>
          </w:p>
        </w:tc>
      </w:tr>
      <w:tr>
        <w:tc>
          <w:tcPr>
            <w:tcW w:type="dxa" w:w="3000"/>
          </w:tcPr>
          <w:p>
            <w:r>
              <w:t>Figure 6.4</w:t>
            </w:r>
          </w:p>
        </w:tc>
        <w:tc>
          <w:tcPr>
            <w:tcW w:type="dxa" w:w="3000"/>
          </w:tcPr>
          <w:p>
            <w:r>
              <w:t>Active vs. Cured Lifetime Disease Continuity Display</w:t>
            </w:r>
          </w:p>
        </w:tc>
        <w:tc>
          <w:tcPr>
            <w:tcW w:type="dxa" w:w="3000"/>
          </w:tcPr>
          <w:p>
            <w:pPr>
              <w:jc w:val="right"/>
            </w:pPr>
            <w:r>
              <w:t>82</w:t>
            </w:r>
          </w:p>
        </w:tc>
      </w:tr>
      <w:tr>
        <w:tc>
          <w:tcPr>
            <w:tcW w:type="dxa" w:w="3000"/>
          </w:tcPr>
          <w:p>
            <w:r>
              <w:t>Figure 6.5</w:t>
            </w:r>
          </w:p>
        </w:tc>
        <w:tc>
          <w:tcPr>
            <w:tcW w:type="dxa" w:w="3000"/>
          </w:tcPr>
          <w:p>
            <w:r>
              <w:t>Centralized Multi-Hospital Diagnostic Reports Vault</w:t>
            </w:r>
          </w:p>
        </w:tc>
        <w:tc>
          <w:tcPr>
            <w:tcW w:type="dxa" w:w="3000"/>
          </w:tcPr>
          <w:p>
            <w:pPr>
              <w:jc w:val="right"/>
            </w:pPr>
            <w:r>
              <w:t>82</w:t>
            </w:r>
          </w:p>
        </w:tc>
      </w:tr>
      <w:tr>
        <w:tc>
          <w:tcPr>
            <w:tcW w:type="dxa" w:w="3000"/>
          </w:tcPr>
          <w:p>
            <w:r>
              <w:t>Figure 6.6</w:t>
            </w:r>
          </w:p>
        </w:tc>
        <w:tc>
          <w:tcPr>
            <w:tcW w:type="dxa" w:w="3000"/>
          </w:tcPr>
          <w:p>
            <w:r>
              <w:t>Sovereign Citizen DigiLocker &amp; 14-Digit ABHA Identity Card</w:t>
            </w:r>
          </w:p>
        </w:tc>
        <w:tc>
          <w:tcPr>
            <w:tcW w:type="dxa" w:w="3000"/>
          </w:tcPr>
          <w:p>
            <w:pPr>
              <w:jc w:val="right"/>
            </w:pPr>
            <w:r>
              <w:t>83</w:t>
            </w:r>
          </w:p>
        </w:tc>
      </w:tr>
      <w:tr>
        <w:tc>
          <w:tcPr>
            <w:tcW w:type="dxa" w:w="3000"/>
          </w:tcPr>
          <w:p>
            <w:r>
              <w:t>Figure 6.7</w:t>
            </w:r>
          </w:p>
        </w:tc>
        <w:tc>
          <w:tcPr>
            <w:tcW w:type="dxa" w:w="3000"/>
          </w:tcPr>
          <w:p>
            <w:r>
              <w:t>Federated Multi-Hospital Network Registry Node Directory</w:t>
            </w:r>
          </w:p>
        </w:tc>
        <w:tc>
          <w:tcPr>
            <w:tcW w:type="dxa" w:w="3000"/>
          </w:tcPr>
          <w:p>
            <w:pPr>
              <w:jc w:val="right"/>
            </w:pPr>
            <w:r>
              <w:t>83</w:t>
            </w:r>
          </w:p>
        </w:tc>
      </w:tr>
    </w:tbl>
    <w:p>
      <w:r>
        <w:br w:type="page"/>
      </w:r>
    </w:p>
    <w:p>
      <w:pPr>
        <w:pStyle w:val="Heading1"/>
        <w:jc w:val="center"/>
      </w:pPr>
      <w:r>
        <w:t>LIST OF TABLES</w:t>
      </w:r>
    </w:p>
    <w:tbl>
      <w:tblPr>
        <w:tblW w:type="auto" w:w="0"/>
        <w:jc w:val="center"/>
        <w:tblLook w:firstColumn="1" w:firstRow="1" w:lastColumn="0" w:lastRow="0" w:noHBand="0" w:noVBand="1" w:val="04A0"/>
      </w:tblPr>
      <w:tblGrid>
        <w:gridCol w:w="3000"/>
        <w:gridCol w:w="3000"/>
        <w:gridCol w:w="3000"/>
      </w:tblGrid>
      <w:tr>
        <w:tc>
          <w:tcPr>
            <w:tcW w:type="dxa" w:w="3000"/>
          </w:tcPr>
          <w:p>
            <w:r>
              <w:t>Table 1.1</w:t>
            </w:r>
          </w:p>
        </w:tc>
        <w:tc>
          <w:tcPr>
            <w:tcW w:type="dxa" w:w="3000"/>
          </w:tcPr>
          <w:p>
            <w:r>
              <w:t>Course Outcomes (COs) Mapping with Project Modules</w:t>
            </w:r>
          </w:p>
        </w:tc>
        <w:tc>
          <w:tcPr>
            <w:tcW w:type="dxa" w:w="3000"/>
          </w:tcPr>
          <w:p>
            <w:pPr>
              <w:jc w:val="right"/>
            </w:pPr>
            <w:r>
              <w:t>11</w:t>
            </w:r>
          </w:p>
        </w:tc>
      </w:tr>
      <w:tr>
        <w:tc>
          <w:tcPr>
            <w:tcW w:type="dxa" w:w="3000"/>
          </w:tcPr>
          <w:p>
            <w:r>
              <w:t>Table 2.1</w:t>
            </w:r>
          </w:p>
        </w:tc>
        <w:tc>
          <w:tcPr>
            <w:tcW w:type="dxa" w:w="3000"/>
          </w:tcPr>
          <w:p>
            <w:r>
              <w:t>Comparative Benchmarking of Contemporary Healthcare Platforms</w:t>
            </w:r>
          </w:p>
        </w:tc>
        <w:tc>
          <w:tcPr>
            <w:tcW w:type="dxa" w:w="3000"/>
          </w:tcPr>
          <w:p>
            <w:pPr>
              <w:jc w:val="right"/>
            </w:pPr>
            <w:r>
              <w:t>26</w:t>
            </w:r>
          </w:p>
        </w:tc>
      </w:tr>
      <w:tr>
        <w:tc>
          <w:tcPr>
            <w:tcW w:type="dxa" w:w="3000"/>
          </w:tcPr>
          <w:p>
            <w:r>
              <w:t>Table 3.1</w:t>
            </w:r>
          </w:p>
        </w:tc>
        <w:tc>
          <w:tcPr>
            <w:tcW w:type="dxa" w:w="3000"/>
          </w:tcPr>
          <w:p>
            <w:r>
              <w:t>User Personas &amp; Operational Access Profiles</w:t>
            </w:r>
          </w:p>
        </w:tc>
        <w:tc>
          <w:tcPr>
            <w:tcW w:type="dxa" w:w="3000"/>
          </w:tcPr>
          <w:p>
            <w:pPr>
              <w:jc w:val="right"/>
            </w:pPr>
            <w:r>
              <w:t>30</w:t>
            </w:r>
          </w:p>
        </w:tc>
      </w:tr>
      <w:tr>
        <w:tc>
          <w:tcPr>
            <w:tcW w:type="dxa" w:w="3000"/>
          </w:tcPr>
          <w:p>
            <w:r>
              <w:t>Table 3.2</w:t>
            </w:r>
          </w:p>
        </w:tc>
        <w:tc>
          <w:tcPr>
            <w:tcW w:type="dxa" w:w="3000"/>
          </w:tcPr>
          <w:p>
            <w:r>
              <w:t>Hardware Sizing Specifications for Production Deployment</w:t>
            </w:r>
          </w:p>
        </w:tc>
        <w:tc>
          <w:tcPr>
            <w:tcW w:type="dxa" w:w="3000"/>
          </w:tcPr>
          <w:p>
            <w:pPr>
              <w:jc w:val="right"/>
            </w:pPr>
            <w:r>
              <w:t>36</w:t>
            </w:r>
          </w:p>
        </w:tc>
      </w:tr>
      <w:tr>
        <w:tc>
          <w:tcPr>
            <w:tcW w:type="dxa" w:w="3000"/>
          </w:tcPr>
          <w:p>
            <w:r>
              <w:t>Table 3.3</w:t>
            </w:r>
          </w:p>
        </w:tc>
        <w:tc>
          <w:tcPr>
            <w:tcW w:type="dxa" w:w="3000"/>
          </w:tcPr>
          <w:p>
            <w:r>
              <w:t>Software Frameworks, Libraries, and Runtime Dependencies</w:t>
            </w:r>
          </w:p>
        </w:tc>
        <w:tc>
          <w:tcPr>
            <w:tcW w:type="dxa" w:w="3000"/>
          </w:tcPr>
          <w:p>
            <w:pPr>
              <w:jc w:val="right"/>
            </w:pPr>
            <w:r>
              <w:t>38</w:t>
            </w:r>
          </w:p>
        </w:tc>
      </w:tr>
      <w:tr>
        <w:tc>
          <w:tcPr>
            <w:tcW w:type="dxa" w:w="3000"/>
          </w:tcPr>
          <w:p>
            <w:r>
              <w:t>Table 4.1</w:t>
            </w:r>
          </w:p>
        </w:tc>
        <w:tc>
          <w:tcPr>
            <w:tcW w:type="dxa" w:w="3000"/>
          </w:tcPr>
          <w:p>
            <w:r>
              <w:t>Relational Database Schema: Patient Entity Data Dictionary</w:t>
            </w:r>
          </w:p>
        </w:tc>
        <w:tc>
          <w:tcPr>
            <w:tcW w:type="dxa" w:w="3000"/>
          </w:tcPr>
          <w:p>
            <w:pPr>
              <w:jc w:val="right"/>
            </w:pPr>
            <w:r>
              <w:t>50</w:t>
            </w:r>
          </w:p>
        </w:tc>
      </w:tr>
      <w:tr>
        <w:tc>
          <w:tcPr>
            <w:tcW w:type="dxa" w:w="3000"/>
          </w:tcPr>
          <w:p>
            <w:r>
              <w:t>Table 4.2</w:t>
            </w:r>
          </w:p>
        </w:tc>
        <w:tc>
          <w:tcPr>
            <w:tcW w:type="dxa" w:w="3000"/>
          </w:tcPr>
          <w:p>
            <w:r>
              <w:t>Relational Database Schema: Clinical Encounter Entity</w:t>
            </w:r>
          </w:p>
        </w:tc>
        <w:tc>
          <w:tcPr>
            <w:tcW w:type="dxa" w:w="3000"/>
          </w:tcPr>
          <w:p>
            <w:pPr>
              <w:jc w:val="right"/>
            </w:pPr>
            <w:r>
              <w:t>51</w:t>
            </w:r>
          </w:p>
        </w:tc>
      </w:tr>
      <w:tr>
        <w:tc>
          <w:tcPr>
            <w:tcW w:type="dxa" w:w="3000"/>
          </w:tcPr>
          <w:p>
            <w:r>
              <w:t>Table 4.3</w:t>
            </w:r>
          </w:p>
        </w:tc>
        <w:tc>
          <w:tcPr>
            <w:tcW w:type="dxa" w:w="3000"/>
          </w:tcPr>
          <w:p>
            <w:r>
              <w:t>Relational Database Schema: Disease Condition Entity</w:t>
            </w:r>
          </w:p>
        </w:tc>
        <w:tc>
          <w:tcPr>
            <w:tcW w:type="dxa" w:w="3000"/>
          </w:tcPr>
          <w:p>
            <w:pPr>
              <w:jc w:val="right"/>
            </w:pPr>
            <w:r>
              <w:t>51</w:t>
            </w:r>
          </w:p>
        </w:tc>
      </w:tr>
      <w:tr>
        <w:tc>
          <w:tcPr>
            <w:tcW w:type="dxa" w:w="3000"/>
          </w:tcPr>
          <w:p>
            <w:r>
              <w:t>Table 4.4</w:t>
            </w:r>
          </w:p>
        </w:tc>
        <w:tc>
          <w:tcPr>
            <w:tcW w:type="dxa" w:w="3000"/>
          </w:tcPr>
          <w:p>
            <w:r>
              <w:t>Relational Database Schema: Diagnostic Report Entity</w:t>
            </w:r>
          </w:p>
        </w:tc>
        <w:tc>
          <w:tcPr>
            <w:tcW w:type="dxa" w:w="3000"/>
          </w:tcPr>
          <w:p>
            <w:pPr>
              <w:jc w:val="right"/>
            </w:pPr>
            <w:r>
              <w:t>52</w:t>
            </w:r>
          </w:p>
        </w:tc>
      </w:tr>
      <w:tr>
        <w:tc>
          <w:tcPr>
            <w:tcW w:type="dxa" w:w="3000"/>
          </w:tcPr>
          <w:p>
            <w:r>
              <w:t>Table 4.5</w:t>
            </w:r>
          </w:p>
        </w:tc>
        <w:tc>
          <w:tcPr>
            <w:tcW w:type="dxa" w:w="3000"/>
          </w:tcPr>
          <w:p>
            <w:r>
              <w:t>Relational Database Schema: Lab Biomarker Entity</w:t>
            </w:r>
          </w:p>
        </w:tc>
        <w:tc>
          <w:tcPr>
            <w:tcW w:type="dxa" w:w="3000"/>
          </w:tcPr>
          <w:p>
            <w:pPr>
              <w:jc w:val="right"/>
            </w:pPr>
            <w:r>
              <w:t>52</w:t>
            </w:r>
          </w:p>
        </w:tc>
      </w:tr>
      <w:tr>
        <w:tc>
          <w:tcPr>
            <w:tcW w:type="dxa" w:w="3000"/>
          </w:tcPr>
          <w:p>
            <w:r>
              <w:t>Table 4.6</w:t>
            </w:r>
          </w:p>
        </w:tc>
        <w:tc>
          <w:tcPr>
            <w:tcW w:type="dxa" w:w="3000"/>
          </w:tcPr>
          <w:p>
            <w:r>
              <w:t>Zero-Trust RBAC Privilege Matrix across System Personas</w:t>
            </w:r>
          </w:p>
        </w:tc>
        <w:tc>
          <w:tcPr>
            <w:tcW w:type="dxa" w:w="3000"/>
          </w:tcPr>
          <w:p>
            <w:pPr>
              <w:jc w:val="right"/>
            </w:pPr>
            <w:r>
              <w:t>58</w:t>
            </w:r>
          </w:p>
        </w:tc>
      </w:tr>
      <w:tr>
        <w:tc>
          <w:tcPr>
            <w:tcW w:type="dxa" w:w="3000"/>
          </w:tcPr>
          <w:p>
            <w:r>
              <w:t>Table 6.1</w:t>
            </w:r>
          </w:p>
        </w:tc>
        <w:tc>
          <w:tcPr>
            <w:tcW w:type="dxa" w:w="3000"/>
          </w:tcPr>
          <w:p>
            <w:r>
              <w:t>Comprehensive Automated Unit &amp; Integration Test Results</w:t>
            </w:r>
          </w:p>
        </w:tc>
        <w:tc>
          <w:tcPr>
            <w:tcW w:type="dxa" w:w="3000"/>
          </w:tcPr>
          <w:p>
            <w:pPr>
              <w:jc w:val="right"/>
            </w:pPr>
            <w:r>
              <w:t>75</w:t>
            </w:r>
          </w:p>
        </w:tc>
      </w:tr>
      <w:tr>
        <w:tc>
          <w:tcPr>
            <w:tcW w:type="dxa" w:w="3000"/>
          </w:tcPr>
          <w:p>
            <w:r>
              <w:t>Table 6.2</w:t>
            </w:r>
          </w:p>
        </w:tc>
        <w:tc>
          <w:tcPr>
            <w:tcW w:type="dxa" w:w="3000"/>
          </w:tcPr>
          <w:p>
            <w:r>
              <w:t>End-to-End Clinical Workflow Test Execution Matrix</w:t>
            </w:r>
          </w:p>
        </w:tc>
        <w:tc>
          <w:tcPr>
            <w:tcW w:type="dxa" w:w="3000"/>
          </w:tcPr>
          <w:p>
            <w:pPr>
              <w:jc w:val="right"/>
            </w:pPr>
            <w:r>
              <w:t>76</w:t>
            </w:r>
          </w:p>
        </w:tc>
      </w:tr>
      <w:tr>
        <w:tc>
          <w:tcPr>
            <w:tcW w:type="dxa" w:w="3000"/>
          </w:tcPr>
          <w:p>
            <w:r>
              <w:t>Table 6.3</w:t>
            </w:r>
          </w:p>
        </w:tc>
        <w:tc>
          <w:tcPr>
            <w:tcW w:type="dxa" w:w="3000"/>
          </w:tcPr>
          <w:p>
            <w:r>
              <w:t>API Gateway Latency &amp; Throughput Benchmark Performance</w:t>
            </w:r>
          </w:p>
        </w:tc>
        <w:tc>
          <w:tcPr>
            <w:tcW w:type="dxa" w:w="3000"/>
          </w:tcPr>
          <w:p>
            <w:pPr>
              <w:jc w:val="right"/>
            </w:pPr>
            <w:r>
              <w:t>77</w:t>
            </w:r>
          </w:p>
        </w:tc>
      </w:tr>
      <w:tr>
        <w:tc>
          <w:tcPr>
            <w:tcW w:type="dxa" w:w="3000"/>
          </w:tcPr>
          <w:p>
            <w:r>
              <w:t>Table 6.4</w:t>
            </w:r>
          </w:p>
        </w:tc>
        <w:tc>
          <w:tcPr>
            <w:tcW w:type="dxa" w:w="3000"/>
          </w:tcPr>
          <w:p>
            <w:r>
              <w:t>Database Query Execution Benchmarks across Patient Cohorts</w:t>
            </w:r>
          </w:p>
        </w:tc>
        <w:tc>
          <w:tcPr>
            <w:tcW w:type="dxa" w:w="3000"/>
          </w:tcPr>
          <w:p>
            <w:pPr>
              <w:jc w:val="right"/>
            </w:pPr>
            <w:r>
              <w:t>78</w:t>
            </w:r>
          </w:p>
        </w:tc>
      </w:tr>
      <w:tr>
        <w:tc>
          <w:tcPr>
            <w:tcW w:type="dxa" w:w="3000"/>
          </w:tcPr>
          <w:p>
            <w:r>
              <w:t>Table 8.1</w:t>
            </w:r>
          </w:p>
        </w:tc>
        <w:tc>
          <w:tcPr>
            <w:tcW w:type="dxa" w:w="3000"/>
          </w:tcPr>
          <w:p>
            <w:r>
              <w:t>Attainment Verification Matrix for Course Outcomes (CO1 to CO5)</w:t>
            </w:r>
          </w:p>
        </w:tc>
        <w:tc>
          <w:tcPr>
            <w:tcW w:type="dxa" w:w="3000"/>
          </w:tcPr>
          <w:p>
            <w:pPr>
              <w:jc w:val="right"/>
            </w:pPr>
            <w:r>
              <w:t>94</w:t>
            </w:r>
          </w:p>
        </w:tc>
      </w:tr>
    </w:tbl>
    <w:p>
      <w:r>
        <w:br w:type="page"/>
      </w:r>
    </w:p>
    <w:p>
      <w:pPr>
        <w:pStyle w:val="Heading1"/>
        <w:jc w:val="center"/>
      </w:pPr>
      <w:r>
        <w:t>LIST OF ABBREVIATIONS &amp; ACRONYMS</w:t>
      </w:r>
    </w:p>
    <w:tbl>
      <w:tblPr>
        <w:tblW w:type="auto" w:w="0"/>
        <w:jc w:val="center"/>
        <w:tblLook w:firstColumn="1" w:firstRow="1" w:lastColumn="0" w:lastRow="0" w:noHBand="0" w:noVBand="1" w:val="04A0"/>
      </w:tblPr>
      <w:tblGrid>
        <w:gridCol w:w="4500"/>
        <w:gridCol w:w="4500"/>
      </w:tblGrid>
      <w:tr>
        <w:tc>
          <w:tcPr>
            <w:tcW w:type="dxa" w:w="4500"/>
          </w:tcPr>
          <w:p>
            <w:r>
              <w:rPr>
                <w:b/>
              </w:rPr>
              <w:t>ABDM</w:t>
            </w:r>
          </w:p>
        </w:tc>
        <w:tc>
          <w:tcPr>
            <w:tcW w:type="dxa" w:w="4500"/>
          </w:tcPr>
          <w:p>
            <w:r>
              <w:t>Ayushman Bharat Digital Mission (Government of India)</w:t>
            </w:r>
          </w:p>
        </w:tc>
      </w:tr>
      <w:tr>
        <w:tc>
          <w:tcPr>
            <w:tcW w:type="dxa" w:w="4500"/>
          </w:tcPr>
          <w:p>
            <w:r>
              <w:rPr>
                <w:b/>
              </w:rPr>
              <w:t>ABHA</w:t>
            </w:r>
          </w:p>
        </w:tc>
        <w:tc>
          <w:tcPr>
            <w:tcW w:type="dxa" w:w="4500"/>
          </w:tcPr>
          <w:p>
            <w:r>
              <w:t>Ayushman Bharat Health Account (14-Digit Sovereign Identifier)</w:t>
            </w:r>
          </w:p>
        </w:tc>
      </w:tr>
      <w:tr>
        <w:tc>
          <w:tcPr>
            <w:tcW w:type="dxa" w:w="4500"/>
          </w:tcPr>
          <w:p>
            <w:r>
              <w:rPr>
                <w:b/>
              </w:rPr>
              <w:t>API</w:t>
            </w:r>
          </w:p>
        </w:tc>
        <w:tc>
          <w:tcPr>
            <w:tcW w:type="dxa" w:w="4500"/>
          </w:tcPr>
          <w:p>
            <w:r>
              <w:t>Application Programming Interface</w:t>
            </w:r>
          </w:p>
        </w:tc>
      </w:tr>
      <w:tr>
        <w:tc>
          <w:tcPr>
            <w:tcW w:type="dxa" w:w="4500"/>
          </w:tcPr>
          <w:p>
            <w:r>
              <w:rPr>
                <w:b/>
              </w:rPr>
              <w:t>CDSS</w:t>
            </w:r>
          </w:p>
        </w:tc>
        <w:tc>
          <w:tcPr>
            <w:tcW w:type="dxa" w:w="4500"/>
          </w:tcPr>
          <w:p>
            <w:r>
              <w:t>Clinical Decision Support System</w:t>
            </w:r>
          </w:p>
        </w:tc>
      </w:tr>
      <w:tr>
        <w:tc>
          <w:tcPr>
            <w:tcW w:type="dxa" w:w="4500"/>
          </w:tcPr>
          <w:p>
            <w:r>
              <w:rPr>
                <w:b/>
              </w:rPr>
              <w:t>CPOE</w:t>
            </w:r>
          </w:p>
        </w:tc>
        <w:tc>
          <w:tcPr>
            <w:tcW w:type="dxa" w:w="4500"/>
          </w:tcPr>
          <w:p>
            <w:r>
              <w:t>Computerized Physician Order Entry</w:t>
            </w:r>
          </w:p>
        </w:tc>
      </w:tr>
      <w:tr>
        <w:tc>
          <w:tcPr>
            <w:tcW w:type="dxa" w:w="4500"/>
          </w:tcPr>
          <w:p>
            <w:r>
              <w:rPr>
                <w:b/>
              </w:rPr>
              <w:t>CORS</w:t>
            </w:r>
          </w:p>
        </w:tc>
        <w:tc>
          <w:tcPr>
            <w:tcW w:type="dxa" w:w="4500"/>
          </w:tcPr>
          <w:p>
            <w:r>
              <w:t>Cross-Origin Resource Sharing</w:t>
            </w:r>
          </w:p>
        </w:tc>
      </w:tr>
      <w:tr>
        <w:tc>
          <w:tcPr>
            <w:tcW w:type="dxa" w:w="4500"/>
          </w:tcPr>
          <w:p>
            <w:r>
              <w:rPr>
                <w:b/>
              </w:rPr>
              <w:t>CSS</w:t>
            </w:r>
          </w:p>
        </w:tc>
        <w:tc>
          <w:tcPr>
            <w:tcW w:type="dxa" w:w="4500"/>
          </w:tcPr>
          <w:p>
            <w:r>
              <w:t>Cascading Style Sheets</w:t>
            </w:r>
          </w:p>
        </w:tc>
      </w:tr>
      <w:tr>
        <w:tc>
          <w:tcPr>
            <w:tcW w:type="dxa" w:w="4500"/>
          </w:tcPr>
          <w:p>
            <w:r>
              <w:rPr>
                <w:b/>
              </w:rPr>
              <w:t>DFD</w:t>
            </w:r>
          </w:p>
        </w:tc>
        <w:tc>
          <w:tcPr>
            <w:tcW w:type="dxa" w:w="4500"/>
          </w:tcPr>
          <w:p>
            <w:r>
              <w:t>Data Flow Diagram</w:t>
            </w:r>
          </w:p>
        </w:tc>
      </w:tr>
      <w:tr>
        <w:tc>
          <w:tcPr>
            <w:tcW w:type="dxa" w:w="4500"/>
          </w:tcPr>
          <w:p>
            <w:r>
              <w:rPr>
                <w:b/>
              </w:rPr>
              <w:t>DPDPA</w:t>
            </w:r>
          </w:p>
        </w:tc>
        <w:tc>
          <w:tcPr>
            <w:tcW w:type="dxa" w:w="4500"/>
          </w:tcPr>
          <w:p>
            <w:r>
              <w:t>Digital Personal Data Protection Act, 2023 (India)</w:t>
            </w:r>
          </w:p>
        </w:tc>
      </w:tr>
      <w:tr>
        <w:tc>
          <w:tcPr>
            <w:tcW w:type="dxa" w:w="4500"/>
          </w:tcPr>
          <w:p>
            <w:r>
              <w:rPr>
                <w:b/>
              </w:rPr>
              <w:t>EHR</w:t>
            </w:r>
          </w:p>
        </w:tc>
        <w:tc>
          <w:tcPr>
            <w:tcW w:type="dxa" w:w="4500"/>
          </w:tcPr>
          <w:p>
            <w:r>
              <w:t>Electronic Health Record</w:t>
            </w:r>
          </w:p>
        </w:tc>
      </w:tr>
      <w:tr>
        <w:tc>
          <w:tcPr>
            <w:tcW w:type="dxa" w:w="4500"/>
          </w:tcPr>
          <w:p>
            <w:r>
              <w:rPr>
                <w:b/>
              </w:rPr>
              <w:t>EMR</w:t>
            </w:r>
          </w:p>
        </w:tc>
        <w:tc>
          <w:tcPr>
            <w:tcW w:type="dxa" w:w="4500"/>
          </w:tcPr>
          <w:p>
            <w:r>
              <w:t>Electronic Medical Record</w:t>
            </w:r>
          </w:p>
        </w:tc>
      </w:tr>
      <w:tr>
        <w:tc>
          <w:tcPr>
            <w:tcW w:type="dxa" w:w="4500"/>
          </w:tcPr>
          <w:p>
            <w:r>
              <w:rPr>
                <w:b/>
              </w:rPr>
              <w:t>ERD</w:t>
            </w:r>
          </w:p>
        </w:tc>
        <w:tc>
          <w:tcPr>
            <w:tcW w:type="dxa" w:w="4500"/>
          </w:tcPr>
          <w:p>
            <w:r>
              <w:t>Entity-Relationship Diagram</w:t>
            </w:r>
          </w:p>
        </w:tc>
      </w:tr>
      <w:tr>
        <w:tc>
          <w:tcPr>
            <w:tcW w:type="dxa" w:w="4500"/>
          </w:tcPr>
          <w:p>
            <w:r>
              <w:rPr>
                <w:b/>
              </w:rPr>
              <w:t>FHIR</w:t>
            </w:r>
          </w:p>
        </w:tc>
        <w:tc>
          <w:tcPr>
            <w:tcW w:type="dxa" w:w="4500"/>
          </w:tcPr>
          <w:p>
            <w:r>
              <w:t>Fast Healthcare Interoperability Resources (HL7 International)</w:t>
            </w:r>
          </w:p>
        </w:tc>
      </w:tr>
      <w:tr>
        <w:tc>
          <w:tcPr>
            <w:tcW w:type="dxa" w:w="4500"/>
          </w:tcPr>
          <w:p>
            <w:r>
              <w:rPr>
                <w:b/>
              </w:rPr>
              <w:t>HFR</w:t>
            </w:r>
          </w:p>
        </w:tc>
        <w:tc>
          <w:tcPr>
            <w:tcW w:type="dxa" w:w="4500"/>
          </w:tcPr>
          <w:p>
            <w:r>
              <w:t>Health Facility Registry (ABDM)</w:t>
            </w:r>
          </w:p>
        </w:tc>
      </w:tr>
      <w:tr>
        <w:tc>
          <w:tcPr>
            <w:tcW w:type="dxa" w:w="4500"/>
          </w:tcPr>
          <w:p>
            <w:r>
              <w:rPr>
                <w:b/>
              </w:rPr>
              <w:t>HIPAA</w:t>
            </w:r>
          </w:p>
        </w:tc>
        <w:tc>
          <w:tcPr>
            <w:tcW w:type="dxa" w:w="4500"/>
          </w:tcPr>
          <w:p>
            <w:r>
              <w:t>Health Insurance Portability and Accountability Act (USA)</w:t>
            </w:r>
          </w:p>
        </w:tc>
      </w:tr>
      <w:tr>
        <w:tc>
          <w:tcPr>
            <w:tcW w:type="dxa" w:w="4500"/>
          </w:tcPr>
          <w:p>
            <w:r>
              <w:rPr>
                <w:b/>
              </w:rPr>
              <w:t>HPR</w:t>
            </w:r>
          </w:p>
        </w:tc>
        <w:tc>
          <w:tcPr>
            <w:tcW w:type="dxa" w:w="4500"/>
          </w:tcPr>
          <w:p>
            <w:r>
              <w:t>Healthcare Professionals Registry (ABDM)</w:t>
            </w:r>
          </w:p>
        </w:tc>
      </w:tr>
      <w:tr>
        <w:tc>
          <w:tcPr>
            <w:tcW w:type="dxa" w:w="4500"/>
          </w:tcPr>
          <w:p>
            <w:r>
              <w:rPr>
                <w:b/>
              </w:rPr>
              <w:t>HRC</w:t>
            </w:r>
          </w:p>
        </w:tc>
        <w:tc>
          <w:tcPr>
            <w:tcW w:type="dxa" w:w="4500"/>
          </w:tcPr>
          <w:p>
            <w:r>
              <w:t>Human Report Center</w:t>
            </w:r>
          </w:p>
        </w:tc>
      </w:tr>
      <w:tr>
        <w:tc>
          <w:tcPr>
            <w:tcW w:type="dxa" w:w="4500"/>
          </w:tcPr>
          <w:p>
            <w:r>
              <w:rPr>
                <w:b/>
              </w:rPr>
              <w:t>ICD-10</w:t>
            </w:r>
          </w:p>
        </w:tc>
        <w:tc>
          <w:tcPr>
            <w:tcW w:type="dxa" w:w="4500"/>
          </w:tcPr>
          <w:p>
            <w:r>
              <w:t>International Classification of Diseases, 10th Revision (WHO)</w:t>
            </w:r>
          </w:p>
        </w:tc>
      </w:tr>
      <w:tr>
        <w:tc>
          <w:tcPr>
            <w:tcW w:type="dxa" w:w="4500"/>
          </w:tcPr>
          <w:p>
            <w:r>
              <w:rPr>
                <w:b/>
              </w:rPr>
              <w:t>JSON</w:t>
            </w:r>
          </w:p>
        </w:tc>
        <w:tc>
          <w:tcPr>
            <w:tcW w:type="dxa" w:w="4500"/>
          </w:tcPr>
          <w:p>
            <w:r>
              <w:t>JavaScript Object Notation</w:t>
            </w:r>
          </w:p>
        </w:tc>
      </w:tr>
      <w:tr>
        <w:tc>
          <w:tcPr>
            <w:tcW w:type="dxa" w:w="4500"/>
          </w:tcPr>
          <w:p>
            <w:r>
              <w:rPr>
                <w:b/>
              </w:rPr>
              <w:t>LLM</w:t>
            </w:r>
          </w:p>
        </w:tc>
        <w:tc>
          <w:tcPr>
            <w:tcW w:type="dxa" w:w="4500"/>
          </w:tcPr>
          <w:p>
            <w:r>
              <w:t>Large Language Model</w:t>
            </w:r>
          </w:p>
        </w:tc>
      </w:tr>
      <w:tr>
        <w:tc>
          <w:tcPr>
            <w:tcW w:type="dxa" w:w="4500"/>
          </w:tcPr>
          <w:p>
            <w:r>
              <w:rPr>
                <w:b/>
              </w:rPr>
              <w:t>LOINC</w:t>
            </w:r>
          </w:p>
        </w:tc>
        <w:tc>
          <w:tcPr>
            <w:tcW w:type="dxa" w:w="4500"/>
          </w:tcPr>
          <w:p>
            <w:r>
              <w:t>Logical Observation Identifiers Names and Codes</w:t>
            </w:r>
          </w:p>
        </w:tc>
      </w:tr>
      <w:tr>
        <w:tc>
          <w:tcPr>
            <w:tcW w:type="dxa" w:w="4500"/>
          </w:tcPr>
          <w:p>
            <w:r>
              <w:rPr>
                <w:b/>
              </w:rPr>
              <w:t>NHA</w:t>
            </w:r>
          </w:p>
        </w:tc>
        <w:tc>
          <w:tcPr>
            <w:tcW w:type="dxa" w:w="4500"/>
          </w:tcPr>
          <w:p>
            <w:r>
              <w:t>National Health Authority (India)</w:t>
            </w:r>
          </w:p>
        </w:tc>
      </w:tr>
      <w:tr>
        <w:tc>
          <w:tcPr>
            <w:tcW w:type="dxa" w:w="4500"/>
          </w:tcPr>
          <w:p>
            <w:r>
              <w:rPr>
                <w:b/>
              </w:rPr>
              <w:t>PHR</w:t>
            </w:r>
          </w:p>
        </w:tc>
        <w:tc>
          <w:tcPr>
            <w:tcW w:type="dxa" w:w="4500"/>
          </w:tcPr>
          <w:p>
            <w:r>
              <w:t>Personal Health Record</w:t>
            </w:r>
          </w:p>
        </w:tc>
      </w:tr>
      <w:tr>
        <w:tc>
          <w:tcPr>
            <w:tcW w:type="dxa" w:w="4500"/>
          </w:tcPr>
          <w:p>
            <w:r>
              <w:rPr>
                <w:b/>
              </w:rPr>
              <w:t>RAG</w:t>
            </w:r>
          </w:p>
        </w:tc>
        <w:tc>
          <w:tcPr>
            <w:tcW w:type="dxa" w:w="4500"/>
          </w:tcPr>
          <w:p>
            <w:r>
              <w:t>Retrieval-Augmented Generation</w:t>
            </w:r>
          </w:p>
        </w:tc>
      </w:tr>
      <w:tr>
        <w:tc>
          <w:tcPr>
            <w:tcW w:type="dxa" w:w="4500"/>
          </w:tcPr>
          <w:p>
            <w:r>
              <w:rPr>
                <w:b/>
              </w:rPr>
              <w:t>RBAC</w:t>
            </w:r>
          </w:p>
        </w:tc>
        <w:tc>
          <w:tcPr>
            <w:tcW w:type="dxa" w:w="4500"/>
          </w:tcPr>
          <w:p>
            <w:r>
              <w:t>Role-Based Access Control</w:t>
            </w:r>
          </w:p>
        </w:tc>
      </w:tr>
      <w:tr>
        <w:tc>
          <w:tcPr>
            <w:tcW w:type="dxa" w:w="4500"/>
          </w:tcPr>
          <w:p>
            <w:r>
              <w:rPr>
                <w:b/>
              </w:rPr>
              <w:t>REST</w:t>
            </w:r>
          </w:p>
        </w:tc>
        <w:tc>
          <w:tcPr>
            <w:tcW w:type="dxa" w:w="4500"/>
          </w:tcPr>
          <w:p>
            <w:r>
              <w:t>Representational State Transfer</w:t>
            </w:r>
          </w:p>
        </w:tc>
      </w:tr>
      <w:tr>
        <w:tc>
          <w:tcPr>
            <w:tcW w:type="dxa" w:w="4500"/>
          </w:tcPr>
          <w:p>
            <w:r>
              <w:rPr>
                <w:b/>
              </w:rPr>
              <w:t>SNOMED-CT</w:t>
            </w:r>
          </w:p>
        </w:tc>
        <w:tc>
          <w:tcPr>
            <w:tcW w:type="dxa" w:w="4500"/>
          </w:tcPr>
          <w:p>
            <w:r>
              <w:t>Systematized Nomenclature of Medicine — Clinical Terms</w:t>
            </w:r>
          </w:p>
        </w:tc>
      </w:tr>
      <w:tr>
        <w:tc>
          <w:tcPr>
            <w:tcW w:type="dxa" w:w="4500"/>
          </w:tcPr>
          <w:p>
            <w:r>
              <w:rPr>
                <w:b/>
              </w:rPr>
              <w:t>SRS</w:t>
            </w:r>
          </w:p>
        </w:tc>
        <w:tc>
          <w:tcPr>
            <w:tcW w:type="dxa" w:w="4500"/>
          </w:tcPr>
          <w:p>
            <w:r>
              <w:t>System Requirements Specification</w:t>
            </w:r>
          </w:p>
        </w:tc>
      </w:tr>
      <w:tr>
        <w:tc>
          <w:tcPr>
            <w:tcW w:type="dxa" w:w="4500"/>
          </w:tcPr>
          <w:p>
            <w:r>
              <w:rPr>
                <w:b/>
              </w:rPr>
              <w:t>UHI</w:t>
            </w:r>
          </w:p>
        </w:tc>
        <w:tc>
          <w:tcPr>
            <w:tcW w:type="dxa" w:w="4500"/>
          </w:tcPr>
          <w:p>
            <w:r>
              <w:t>Unified Health Interface</w:t>
            </w:r>
          </w:p>
        </w:tc>
      </w:tr>
      <w:tr>
        <w:tc>
          <w:tcPr>
            <w:tcW w:type="dxa" w:w="4500"/>
          </w:tcPr>
          <w:p>
            <w:r>
              <w:rPr>
                <w:b/>
              </w:rPr>
              <w:t>UML</w:t>
            </w:r>
          </w:p>
        </w:tc>
        <w:tc>
          <w:tcPr>
            <w:tcW w:type="dxa" w:w="4500"/>
          </w:tcPr>
          <w:p>
            <w:r>
              <w:t>Unified Modeling Language</w:t>
            </w:r>
          </w:p>
        </w:tc>
      </w:tr>
    </w:tbl>
    <w:p>
      <w:r>
        <w:br w:type="page"/>
      </w:r>
    </w:p>
    <w:p>
      <w:pPr>
        <w:pStyle w:val="Heading1"/>
        <w:keepNext/>
        <w:spacing w:before="320" w:after="200"/>
      </w:pPr>
      <w:r>
        <w:rPr>
          <w:rFonts w:ascii="Times New Roman" w:hAnsi="Times New Roman"/>
          <w:b/>
          <w:color w:val="0F172A"/>
          <w:sz w:val="32"/>
        </w:rPr>
        <w:t>CHAPTER 1: INTRODUCTION</w:t>
      </w:r>
    </w:p>
    <w:p>
      <w:pPr>
        <w:pStyle w:val="Heading2"/>
        <w:keepNext/>
        <w:spacing w:before="280" w:after="120"/>
      </w:pPr>
      <w:r>
        <w:rPr>
          <w:rFonts w:ascii="Times New Roman" w:hAnsi="Times New Roman"/>
          <w:b/>
          <w:color w:val="0284C7"/>
          <w:sz w:val="27"/>
        </w:rPr>
        <w:t>1.1 Global &amp; National Healthcare Landscape</w:t>
      </w:r>
    </w:p>
    <w:p>
      <w:pPr>
        <w:spacing w:line="312" w:lineRule="auto" w:after="120"/>
      </w:pPr>
      <w:r>
        <w:rPr>
          <w:rFonts w:ascii="Times New Roman" w:hAnsi="Times New Roman"/>
          <w:color w:val="1E293B"/>
          <w:sz w:val="24"/>
        </w:rPr>
        <w:t>Healthcare systems across the globe are undergoing a profound digital transformation. For decades, clinical practice relied primarily on physical, handwritten paper records, institutional folders, and manual physical archiving. While the transition from paper to Electronic Medical Records (EMRs) began in developed nations in the late 1990s, the resulting digital landscape has largely evolved into proprietary walled gardens. Large hospital networks adopted monolithic software platforms designed primarily around institutional billing, insurance reimbursement cycles, and localized hospital administrative workflows, rather than longitudinal citizen-centric care.</w:t>
      </w:r>
    </w:p>
    <w:p>
      <w:pPr>
        <w:spacing w:line="312" w:lineRule="auto" w:after="120"/>
      </w:pPr>
      <w:r>
        <w:rPr>
          <w:rFonts w:ascii="Times New Roman" w:hAnsi="Times New Roman"/>
          <w:color w:val="1E293B"/>
          <w:sz w:val="24"/>
        </w:rPr>
        <w:t>In India, this challenge is intensified by the sheer demographic scale, geographic diversity, and the coexistence of sprawling public tertiary institutions (such as the All India Institute of Medical Sciences - AIIMS) and highly fragmented private healthcare providers, diagnostic laboratory chains, and standalone outpatient clinics. India's healthcare delivery is predominantly out-of-pocket, resulting in patients freely consulting diverse specialists across institutional networks without a central clearinghouse for their medical data. When a patient in New Delhi consults an endocrinologist at Apollo Hospitals and subsequently visits a cardiology specialist at Max Healthcare or Fortis Memorial Research Institute, their diagnostic history remains trapped within the respective facility's electronic database or lost in home paper files.</w:t>
      </w:r>
    </w:p>
    <w:p>
      <w:pPr>
        <w:pStyle w:val="Heading2"/>
        <w:keepNext/>
        <w:spacing w:before="280" w:after="120"/>
      </w:pPr>
      <w:r>
        <w:rPr>
          <w:rFonts w:ascii="Times New Roman" w:hAnsi="Times New Roman"/>
          <w:b/>
          <w:color w:val="0284C7"/>
          <w:sz w:val="27"/>
        </w:rPr>
        <w:t>1.2 The Fragmentation Dilemma in Indian Healthcare</w:t>
      </w:r>
    </w:p>
    <w:p>
      <w:pPr>
        <w:spacing w:line="312" w:lineRule="auto" w:after="120"/>
      </w:pPr>
      <w:r>
        <w:rPr>
          <w:rFonts w:ascii="Times New Roman" w:hAnsi="Times New Roman"/>
          <w:color w:val="1E293B"/>
          <w:sz w:val="24"/>
        </w:rPr>
        <w:t>The physical paper-centric paradigm creates severe systemic vulnerabilities across the clinical delivery pipeline. Patients routinely carry heavy plastic files containing physical ultrasound films, electrocardiograms, lipid profiles, and prescription slips. During clinical emergencies or routine outpatient consultations, the critical consequences of this fragmentation become immediately apparent:</w:t>
        <w:br/>
        <w:t>1. Redundant Diagnostic Investigations: Due to lack of access to recent laboratory results, clinicians are forced to re-order expensive biochemical tests (e.g., repeating HbA1c, thyroid profiles, or CT scans), imposing unnecessary financial burdens on citizens and straining laboratory capacity.</w:t>
        <w:br/>
        <w:t>2. Clinical Blindspots &amp; Adverse Drug Events: A physician prescribing a second-line hypoglycemic agent or anti-hypertensive drug has no immediate visibility into historical adverse reactions, drug allergies, or hepatic panel trajectories recorded at another hospital three months prior.</w:t>
        <w:br/>
        <w:t>3. Conflation of Acute versus Chronic Illness: In paper summaries, acute cured diseases (such as treated Dengue fever, resolved viral hepatitis, or acute bronchitis) are frequently conflated with active, ongoing chronic conditions (such as Type 2 Diabetes Mellitus or Chronic Kidney Disease), obscuring the patient's true active clinical picture.</w:t>
        <w:br/>
        <w:t>4. Absence of Quantitative Biomarker Trajectories: Diagnosing progressive metabolic disorders requires evaluating multi-year trajectories rather than static point-in-time readings. A fasting blood sugar reading of 138 mg/dL carries entirely different clinical significance if the patient's baseline two years ago was 172 mg/dL (indicating therapeutic improvement) versus 95 mg/dL (indicating rapid metabolic deterioration).</w:t>
      </w:r>
    </w:p>
    <w:p>
      <w:pPr>
        <w:pStyle w:val="Heading2"/>
        <w:keepNext/>
        <w:spacing w:before="280" w:after="120"/>
      </w:pPr>
      <w:r>
        <w:rPr>
          <w:rFonts w:ascii="Times New Roman" w:hAnsi="Times New Roman"/>
          <w:b/>
          <w:color w:val="0284C7"/>
          <w:sz w:val="27"/>
        </w:rPr>
        <w:t>1.3 Motivation &amp; Research Rationale</w:t>
      </w:r>
    </w:p>
    <w:p>
      <w:pPr>
        <w:spacing w:line="312" w:lineRule="auto" w:after="120"/>
      </w:pPr>
      <w:r>
        <w:rPr>
          <w:rFonts w:ascii="Times New Roman" w:hAnsi="Times New Roman"/>
          <w:color w:val="1E293B"/>
          <w:sz w:val="24"/>
        </w:rPr>
        <w:t>The announcement of the Ayushman Bharat Digital Mission (ABDM) by the National Health Authority (NHA) established a foundational national public good: the 14-digit Ayushman Bharat Health Account (ABHA) number. ABHA creates a unique, federated digital health identity for every Indian citizen, analogous to the transformative impact of the Unified Payments Interface (UPI) in financial technology.</w:t>
        <w:br/>
        <w:br/>
        <w:t>However, a digital identity alone is insufficient. Clinicians during high-pressure 10-minute outpatient consultations do not have the time to download and manually read through dozens of unstructured PDF documents pushed from different hospitals. There is a profound engineering need for an interactive, condition-centric Human Report Center (HRC) and Clinical Intelligence Workstation. This platform must automatically synthesize multi-hospital encounters, extract quantitative laboratory trajectories, clearly separate active from cured diseases, and provide attending physicians with an evidence-grounded Clinical AI Copilot.</w:t>
      </w:r>
    </w:p>
    <w:p>
      <w:pPr>
        <w:pStyle w:val="Heading2"/>
        <w:keepNext/>
        <w:spacing w:before="280" w:after="120"/>
      </w:pPr>
      <w:r>
        <w:rPr>
          <w:rFonts w:ascii="Times New Roman" w:hAnsi="Times New Roman"/>
          <w:b/>
          <w:color w:val="0284C7"/>
          <w:sz w:val="27"/>
        </w:rPr>
        <w:t>1.4 Problem Statement &amp; Formal Problem Formulation</w:t>
      </w:r>
    </w:p>
    <w:p>
      <w:pPr>
        <w:spacing w:line="312" w:lineRule="auto" w:after="120"/>
      </w:pPr>
      <w:r>
        <w:rPr>
          <w:rFonts w:ascii="Times New Roman" w:hAnsi="Times New Roman"/>
          <w:color w:val="1E293B"/>
          <w:sz w:val="24"/>
        </w:rPr>
        <w:t>The primary problem addressed in this major project is the design, full-stack implementation, and clinical validation of MediSutra: a unified longitudinal personal health intelligence platform and federated clinical copilot that bridges multi-hospital data silos into a sovereign, patient-governed health journey.</w:t>
      </w:r>
    </w:p>
    <w:p>
      <w:pPr>
        <w:spacing w:line="312" w:lineRule="auto" w:after="120"/>
      </w:pPr>
      <w:r>
        <w:rPr>
          <w:rFonts w:ascii="Times New Roman" w:hAnsi="Times New Roman"/>
          <w:color w:val="1E293B"/>
          <w:sz w:val="24"/>
        </w:rPr>
        <w:t>Formally, let H = {H_1, H_2, ..., H_m} represent the set of federated healthcare institutions, D = {D_1, D_2, ..., D_k} represent participating diagnostic laboratory chains, and P = {p_1, p_2, ..., p_n} represent registered citizens identified by their unique 14-digit ABHA identifier. For any given patient p_i, medical events occur as an asynchronous temporal sequence of clinical encounters E = {e_1, e_2, ..., e_t} and diagnostic panels R = {r_1, r_2, ..., r_u} across arbitrary institutions H_j. The objective of MediSutra is to compute a continuous, condition-centric longitudinal dossier:</w:t>
        <w:br/>
        <w:br/>
        <w:t xml:space="preserve">    Dossier(p_i) = { C_active(p_i), C_cured(p_i), T_biomarkers(p_i), Provenance(E, R) }</w:t>
        <w:br/>
        <w:br/>
        <w:t>such that any attending clinician at facility H_new can query presenting symptoms S and obtain an evidence-grounded clinical synthesis report with mathematical trajectory deltas without generative hallucinations.</w:t>
      </w:r>
    </w:p>
    <w:p>
      <w:pPr>
        <w:pStyle w:val="Heading2"/>
        <w:keepNext/>
        <w:spacing w:before="280" w:after="120"/>
      </w:pPr>
      <w:r>
        <w:rPr>
          <w:rFonts w:ascii="Times New Roman" w:hAnsi="Times New Roman"/>
          <w:b/>
          <w:color w:val="0284C7"/>
          <w:sz w:val="27"/>
        </w:rPr>
        <w:t>1.5 Objectives of the Major Project</w:t>
      </w:r>
    </w:p>
    <w:p>
      <w:pPr>
        <w:spacing w:line="312" w:lineRule="auto" w:after="120"/>
      </w:pPr>
      <w:r>
        <w:rPr>
          <w:rFonts w:ascii="Times New Roman" w:hAnsi="Times New Roman"/>
          <w:color w:val="1E293B"/>
          <w:sz w:val="24"/>
        </w:rPr>
        <w:t>The project is executed against seven rigorous technical objectives:</w:t>
      </w:r>
    </w:p>
    <w:p>
      <w:pPr>
        <w:pStyle w:val="ListBullet"/>
        <w:spacing w:line="300" w:lineRule="auto" w:after="80"/>
      </w:pPr>
      <w:r>
        <w:rPr>
          <w:rFonts w:ascii="Times New Roman" w:hAnsi="Times New Roman"/>
          <w:b/>
          <w:color w:val="0F172A"/>
          <w:sz w:val="23"/>
        </w:rPr>
        <w:t xml:space="preserve">1. Unified Health Identity: </w:t>
      </w:r>
      <w:r>
        <w:rPr>
          <w:rFonts w:ascii="Times New Roman" w:hAnsi="Times New Roman"/>
          <w:color w:val="334155"/>
          <w:sz w:val="23"/>
        </w:rPr>
        <w:t>Architect an ABHA-compliant 14-digit citizen registry linking multi-hospital health records into a sovereign profile.</w:t>
      </w:r>
    </w:p>
    <w:p>
      <w:pPr>
        <w:pStyle w:val="ListBullet"/>
        <w:spacing w:line="300" w:lineRule="auto" w:after="80"/>
      </w:pPr>
      <w:r>
        <w:rPr>
          <w:rFonts w:ascii="Times New Roman" w:hAnsi="Times New Roman"/>
          <w:b/>
          <w:color w:val="0F172A"/>
          <w:sz w:val="23"/>
        </w:rPr>
        <w:t xml:space="preserve">2. Federated Institutional Network: </w:t>
      </w:r>
      <w:r>
        <w:rPr>
          <w:rFonts w:ascii="Times New Roman" w:hAnsi="Times New Roman"/>
          <w:color w:val="334155"/>
          <w:sz w:val="23"/>
        </w:rPr>
        <w:t>Build a multi-facility network registry connecting premier tertiary hospitals (Apollo, Fortis, Max, AIIMS) and diagnostic chains (Dr. Lal PathLabs, Metropolis).</w:t>
      </w:r>
    </w:p>
    <w:p>
      <w:pPr>
        <w:pStyle w:val="ListBullet"/>
        <w:spacing w:line="300" w:lineRule="auto" w:after="80"/>
      </w:pPr>
      <w:r>
        <w:rPr>
          <w:rFonts w:ascii="Times New Roman" w:hAnsi="Times New Roman"/>
          <w:b/>
          <w:color w:val="0F172A"/>
          <w:sz w:val="23"/>
        </w:rPr>
        <w:t xml:space="preserve">3. Clinical Encounter Ingestion: </w:t>
      </w:r>
      <w:r>
        <w:rPr>
          <w:rFonts w:ascii="Times New Roman" w:hAnsi="Times New Roman"/>
          <w:color w:val="334155"/>
          <w:sz w:val="23"/>
        </w:rPr>
        <w:t>Implement structured encounter recording with institutional stamps, ICD-10 diagnostic coding, and clinical severity markers.</w:t>
      </w:r>
    </w:p>
    <w:p>
      <w:pPr>
        <w:pStyle w:val="ListBullet"/>
        <w:spacing w:line="300" w:lineRule="auto" w:after="80"/>
      </w:pPr>
      <w:r>
        <w:rPr>
          <w:rFonts w:ascii="Times New Roman" w:hAnsi="Times New Roman"/>
          <w:b/>
          <w:color w:val="0F172A"/>
          <w:sz w:val="23"/>
        </w:rPr>
        <w:t xml:space="preserve">4. Disease Lifecycle &amp; Cure Certification: </w:t>
      </w:r>
      <w:r>
        <w:rPr>
          <w:rFonts w:ascii="Times New Roman" w:hAnsi="Times New Roman"/>
          <w:color w:val="334155"/>
          <w:sz w:val="23"/>
        </w:rPr>
        <w:t>Provide explicit clinical workflows for physicians to certify verified cure milestones with follow-up evidence, permanently separating cured diseases from active conditions.</w:t>
      </w:r>
    </w:p>
    <w:p>
      <w:pPr>
        <w:pStyle w:val="ListBullet"/>
        <w:spacing w:line="300" w:lineRule="auto" w:after="80"/>
      </w:pPr>
      <w:r>
        <w:rPr>
          <w:rFonts w:ascii="Times New Roman" w:hAnsi="Times New Roman"/>
          <w:b/>
          <w:color w:val="0F172A"/>
          <w:sz w:val="23"/>
        </w:rPr>
        <w:t xml:space="preserve">5. Quantitative Biomarker Trajectories: </w:t>
      </w:r>
      <w:r>
        <w:rPr>
          <w:rFonts w:ascii="Times New Roman" w:hAnsi="Times New Roman"/>
          <w:color w:val="334155"/>
          <w:sz w:val="23"/>
        </w:rPr>
        <w:t>Develop mathematical algorithms to compute longitudinal numerical differentials and trajectory flags for key physiological biomarkers across calendar years.</w:t>
      </w:r>
    </w:p>
    <w:p>
      <w:pPr>
        <w:pStyle w:val="ListBullet"/>
        <w:spacing w:line="300" w:lineRule="auto" w:after="80"/>
      </w:pPr>
      <w:r>
        <w:rPr>
          <w:rFonts w:ascii="Times New Roman" w:hAnsi="Times New Roman"/>
          <w:b/>
          <w:color w:val="0F172A"/>
          <w:sz w:val="23"/>
        </w:rPr>
        <w:t xml:space="preserve">6. Deterministic Clinical AI Copilot: </w:t>
      </w:r>
      <w:r>
        <w:rPr>
          <w:rFonts w:ascii="Times New Roman" w:hAnsi="Times New Roman"/>
          <w:color w:val="334155"/>
          <w:sz w:val="23"/>
        </w:rPr>
        <w:t>Build an evidence-grounded Clinical AI Copilot that correlates freeform observations with patient records and provides 1-click consultation note export.</w:t>
      </w:r>
    </w:p>
    <w:p>
      <w:pPr>
        <w:pStyle w:val="ListBullet"/>
        <w:spacing w:line="300" w:lineRule="auto" w:after="80"/>
      </w:pPr>
      <w:r>
        <w:rPr>
          <w:rFonts w:ascii="Times New Roman" w:hAnsi="Times New Roman"/>
          <w:b/>
          <w:color w:val="0F172A"/>
          <w:sz w:val="23"/>
        </w:rPr>
        <w:t xml:space="preserve">7. Zero-Trust Security &amp; Sovereignty: </w:t>
      </w:r>
      <w:r>
        <w:rPr>
          <w:rFonts w:ascii="Times New Roman" w:hAnsi="Times New Roman"/>
          <w:color w:val="334155"/>
          <w:sz w:val="23"/>
        </w:rPr>
        <w:t>Enforce strict Zero-Trust Role-Based Access Control (RBAC) ensuring doctors, hospital admins, and citizens access only authorized data views in compliance with DPDPA 2023.</w:t>
      </w:r>
    </w:p>
    <w:p>
      <w:pPr>
        <w:pStyle w:val="Heading2"/>
        <w:keepNext/>
        <w:spacing w:before="280" w:after="120"/>
      </w:pPr>
      <w:r>
        <w:rPr>
          <w:rFonts w:ascii="Times New Roman" w:hAnsi="Times New Roman"/>
          <w:b/>
          <w:color w:val="0284C7"/>
          <w:sz w:val="27"/>
        </w:rPr>
        <w:t>1.6 Scope, Boundary Conditions &amp; Assumptions</w:t>
      </w:r>
    </w:p>
    <w:p>
      <w:pPr>
        <w:spacing w:line="312" w:lineRule="auto" w:after="120"/>
      </w:pPr>
      <w:r>
        <w:rPr>
          <w:rFonts w:ascii="Times New Roman" w:hAnsi="Times New Roman"/>
          <w:color w:val="1E293B"/>
          <w:sz w:val="24"/>
        </w:rPr>
        <w:t>The scope of this project encompasses full-stack software architecture, relational database engineering, deterministic retrieval algorithms, reactive frontend interfaces, and clinical security controls. The prototype is evaluated using synthetically modeled, multi-year clinical cohorts representing realistic Indian demographic and epidemiological profiles (e.g., metabolic syndrome, hypertension, tropical acute infections such as Dengue). Hardware deployment targets modern web browsers (Chrome, Edge, Safari) and standard cloud virtualized servers. Third-party physical hardware integration (such as laboratory auto-analyzers) is represented via standardized JSON REST ingestion contracts.</w:t>
      </w:r>
    </w:p>
    <w:p>
      <w:pPr>
        <w:pStyle w:val="Heading2"/>
        <w:keepNext/>
        <w:spacing w:before="280" w:after="120"/>
      </w:pPr>
      <w:r>
        <w:rPr>
          <w:rFonts w:ascii="Times New Roman" w:hAnsi="Times New Roman"/>
          <w:b/>
          <w:color w:val="0284C7"/>
          <w:sz w:val="27"/>
        </w:rPr>
        <w:t>1.7 Course Outcome Attainment Mapping (CO1 – CO5)</w:t>
      </w:r>
    </w:p>
    <w:p>
      <w:pPr>
        <w:spacing w:line="312" w:lineRule="auto" w:after="120"/>
      </w:pPr>
      <w:r>
        <w:rPr>
          <w:rFonts w:ascii="Times New Roman" w:hAnsi="Times New Roman"/>
          <w:color w:val="1E293B"/>
          <w:sz w:val="24"/>
        </w:rPr>
        <w:t>The implementation of MediSutra directly maps to all Course Outcomes defined in the BCO 519A department curriculum:</w:t>
      </w:r>
    </w:p>
    <w:tbl>
      <w:tblPr>
        <w:tblW w:type="auto" w:w="0"/>
        <w:jc w:val="center"/>
        <w:tblLook w:firstColumn="1" w:firstRow="1" w:lastColumn="0" w:lastRow="0" w:noHBand="0" w:noVBand="1" w:val="04A0"/>
      </w:tblPr>
      <w:tblGrid>
        <w:gridCol w:w="2250"/>
        <w:gridCol w:w="2250"/>
        <w:gridCol w:w="2250"/>
        <w:gridCol w:w="2250"/>
      </w:tblGrid>
      <w:tr>
        <w:tc>
          <w:tcPr>
            <w:tcW w:type="dxa" w:w="1440"/>
            <w:shd w:val="clear" w:color="auto" w:fill="E0F2FE"/>
            <w:tcMar>
              <w:top w:w="120" w:type="dxa"/>
              <w:bottom w:w="120" w:type="dxa"/>
              <w:left w:w="150" w:type="dxa"/>
              <w:right w:w="150" w:type="dxa"/>
            </w:tcMar>
          </w:tcPr>
          <w:p>
            <w:r>
              <w:rPr>
                <w:rFonts w:ascii="Times New Roman" w:hAnsi="Times New Roman"/>
                <w:b/>
                <w:color w:val="0F172A"/>
                <w:sz w:val="21"/>
              </w:rPr>
              <w:t>Course Outcome</w:t>
            </w:r>
          </w:p>
        </w:tc>
        <w:tc>
          <w:tcPr>
            <w:tcW w:type="dxa" w:w="2880"/>
            <w:shd w:val="clear" w:color="auto" w:fill="E0F2FE"/>
            <w:tcMar>
              <w:top w:w="120" w:type="dxa"/>
              <w:bottom w:w="120" w:type="dxa"/>
              <w:left w:w="150" w:type="dxa"/>
              <w:right w:w="150" w:type="dxa"/>
            </w:tcMar>
          </w:tcPr>
          <w:p>
            <w:r>
              <w:rPr>
                <w:rFonts w:ascii="Times New Roman" w:hAnsi="Times New Roman"/>
                <w:b/>
                <w:color w:val="0F172A"/>
                <w:sz w:val="21"/>
              </w:rPr>
              <w:t>Curricular Description</w:t>
            </w:r>
          </w:p>
        </w:tc>
        <w:tc>
          <w:tcPr>
            <w:tcW w:type="dxa" w:w="3600"/>
            <w:shd w:val="clear" w:color="auto" w:fill="E0F2FE"/>
            <w:tcMar>
              <w:top w:w="120" w:type="dxa"/>
              <w:bottom w:w="120" w:type="dxa"/>
              <w:left w:w="150" w:type="dxa"/>
              <w:right w:w="150" w:type="dxa"/>
            </w:tcMar>
          </w:tcPr>
          <w:p>
            <w:r>
              <w:rPr>
                <w:rFonts w:ascii="Times New Roman" w:hAnsi="Times New Roman"/>
                <w:b/>
                <w:color w:val="0F172A"/>
                <w:sz w:val="21"/>
              </w:rPr>
              <w:t>MediSutra Engineering Implementation</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Attainment Level</w:t>
            </w:r>
          </w:p>
        </w:tc>
      </w:tr>
      <w:tr>
        <w:tc>
          <w:tcPr>
            <w:tcW w:type="dxa" w:w="1440"/>
            <w:shd w:val="clear" w:color="auto" w:fill="FFFFFF"/>
            <w:tcMar>
              <w:top w:w="80" w:type="dxa"/>
              <w:bottom w:w="80" w:type="dxa"/>
              <w:left w:w="120" w:type="dxa"/>
              <w:right w:w="120" w:type="dxa"/>
            </w:tcMar>
          </w:tcPr>
          <w:p>
            <w:r>
              <w:rPr>
                <w:rFonts w:ascii="Times New Roman" w:hAnsi="Times New Roman"/>
                <w:color w:val="334155"/>
                <w:sz w:val="20"/>
              </w:rPr>
              <w:t>CO1</w:t>
            </w:r>
          </w:p>
        </w:tc>
        <w:tc>
          <w:tcPr>
            <w:tcW w:type="dxa" w:w="2880"/>
            <w:shd w:val="clear" w:color="auto" w:fill="FFFFFF"/>
            <w:tcMar>
              <w:top w:w="80" w:type="dxa"/>
              <w:bottom w:w="80" w:type="dxa"/>
              <w:left w:w="120" w:type="dxa"/>
              <w:right w:w="120" w:type="dxa"/>
            </w:tcMar>
          </w:tcPr>
          <w:p>
            <w:r>
              <w:rPr>
                <w:rFonts w:ascii="Times New Roman" w:hAnsi="Times New Roman"/>
                <w:color w:val="334155"/>
                <w:sz w:val="20"/>
              </w:rPr>
              <w:t>Identify and analyze real-world problems and formulate computing solutions</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Identified multi-hospital data fragmentation in India; formulated condition-centric longitudinal data model.</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Level 3 (High)</w:t>
            </w:r>
          </w:p>
        </w:tc>
      </w:tr>
      <w:tr>
        <w:tc>
          <w:tcPr>
            <w:tcW w:type="dxa" w:w="1440"/>
            <w:shd w:val="clear" w:color="auto" w:fill="F8FAFC"/>
            <w:tcMar>
              <w:top w:w="80" w:type="dxa"/>
              <w:bottom w:w="80" w:type="dxa"/>
              <w:left w:w="120" w:type="dxa"/>
              <w:right w:w="120" w:type="dxa"/>
            </w:tcMar>
          </w:tcPr>
          <w:p>
            <w:r>
              <w:rPr>
                <w:rFonts w:ascii="Times New Roman" w:hAnsi="Times New Roman"/>
                <w:color w:val="334155"/>
                <w:sz w:val="20"/>
              </w:rPr>
              <w:t>CO2</w:t>
            </w:r>
          </w:p>
        </w:tc>
        <w:tc>
          <w:tcPr>
            <w:tcW w:type="dxa" w:w="2880"/>
            <w:shd w:val="clear" w:color="auto" w:fill="F8FAFC"/>
            <w:tcMar>
              <w:top w:w="80" w:type="dxa"/>
              <w:bottom w:w="80" w:type="dxa"/>
              <w:left w:w="120" w:type="dxa"/>
              <w:right w:w="120" w:type="dxa"/>
            </w:tcMar>
          </w:tcPr>
          <w:p>
            <w:r>
              <w:rPr>
                <w:rFonts w:ascii="Times New Roman" w:hAnsi="Times New Roman"/>
                <w:color w:val="334155"/>
                <w:sz w:val="20"/>
              </w:rPr>
              <w:t>Design and develop software using modern tools, languages, and methodologies</w:t>
            </w:r>
          </w:p>
        </w:tc>
        <w:tc>
          <w:tcPr>
            <w:tcW w:type="dxa" w:w="3600"/>
            <w:shd w:val="clear" w:color="auto" w:fill="F8FAFC"/>
            <w:tcMar>
              <w:top w:w="80" w:type="dxa"/>
              <w:bottom w:w="80" w:type="dxa"/>
              <w:left w:w="120" w:type="dxa"/>
              <w:right w:w="120" w:type="dxa"/>
            </w:tcMar>
          </w:tcPr>
          <w:p>
            <w:r>
              <w:rPr>
                <w:rFonts w:ascii="Times New Roman" w:hAnsi="Times New Roman"/>
                <w:color w:val="334155"/>
                <w:sz w:val="20"/>
              </w:rPr>
              <w:t>Architected full-stack TypeScript platform: React 19, Vite, Node.js, Express, relational schemas, custom CSS design system.</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Level 3 (High)</w:t>
            </w:r>
          </w:p>
        </w:tc>
      </w:tr>
      <w:tr>
        <w:tc>
          <w:tcPr>
            <w:tcW w:type="dxa" w:w="1440"/>
            <w:shd w:val="clear" w:color="auto" w:fill="FFFFFF"/>
            <w:tcMar>
              <w:top w:w="80" w:type="dxa"/>
              <w:bottom w:w="80" w:type="dxa"/>
              <w:left w:w="120" w:type="dxa"/>
              <w:right w:w="120" w:type="dxa"/>
            </w:tcMar>
          </w:tcPr>
          <w:p>
            <w:r>
              <w:rPr>
                <w:rFonts w:ascii="Times New Roman" w:hAnsi="Times New Roman"/>
                <w:color w:val="334155"/>
                <w:sz w:val="20"/>
              </w:rPr>
              <w:t>CO3</w:t>
            </w:r>
          </w:p>
        </w:tc>
        <w:tc>
          <w:tcPr>
            <w:tcW w:type="dxa" w:w="2880"/>
            <w:shd w:val="clear" w:color="auto" w:fill="FFFFFF"/>
            <w:tcMar>
              <w:top w:w="80" w:type="dxa"/>
              <w:bottom w:w="80" w:type="dxa"/>
              <w:left w:w="120" w:type="dxa"/>
              <w:right w:w="120" w:type="dxa"/>
            </w:tcMar>
          </w:tcPr>
          <w:p>
            <w:r>
              <w:rPr>
                <w:rFonts w:ascii="Times New Roman" w:hAnsi="Times New Roman"/>
                <w:color w:val="334155"/>
                <w:sz w:val="20"/>
              </w:rPr>
              <w:t>Implement and test proposed solutions following standard practices</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Developed modular services with 0 compile/lint errors; executed comprehensive unit, integration, and UI test harness.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Level 3 (High)</w:t>
            </w:r>
          </w:p>
        </w:tc>
      </w:tr>
      <w:tr>
        <w:tc>
          <w:tcPr>
            <w:tcW w:type="dxa" w:w="1440"/>
            <w:shd w:val="clear" w:color="auto" w:fill="F8FAFC"/>
            <w:tcMar>
              <w:top w:w="80" w:type="dxa"/>
              <w:bottom w:w="80" w:type="dxa"/>
              <w:left w:w="120" w:type="dxa"/>
              <w:right w:w="120" w:type="dxa"/>
            </w:tcMar>
          </w:tcPr>
          <w:p>
            <w:r>
              <w:rPr>
                <w:rFonts w:ascii="Times New Roman" w:hAnsi="Times New Roman"/>
                <w:color w:val="334155"/>
                <w:sz w:val="20"/>
              </w:rPr>
              <w:t>CO4</w:t>
            </w:r>
          </w:p>
        </w:tc>
        <w:tc>
          <w:tcPr>
            <w:tcW w:type="dxa" w:w="2880"/>
            <w:shd w:val="clear" w:color="auto" w:fill="F8FAFC"/>
            <w:tcMar>
              <w:top w:w="80" w:type="dxa"/>
              <w:bottom w:w="80" w:type="dxa"/>
              <w:left w:w="120" w:type="dxa"/>
              <w:right w:w="120" w:type="dxa"/>
            </w:tcMar>
          </w:tcPr>
          <w:p>
            <w:r>
              <w:rPr>
                <w:rFonts w:ascii="Times New Roman" w:hAnsi="Times New Roman"/>
                <w:color w:val="334155"/>
                <w:sz w:val="20"/>
              </w:rPr>
              <w:t>Demonstrate teamwork, project management, and professional ethics</w:t>
            </w:r>
          </w:p>
        </w:tc>
        <w:tc>
          <w:tcPr>
            <w:tcW w:type="dxa" w:w="3600"/>
            <w:shd w:val="clear" w:color="auto" w:fill="F8FAFC"/>
            <w:tcMar>
              <w:top w:w="80" w:type="dxa"/>
              <w:bottom w:w="80" w:type="dxa"/>
              <w:left w:w="120" w:type="dxa"/>
              <w:right w:w="120" w:type="dxa"/>
            </w:tcMar>
          </w:tcPr>
          <w:p>
            <w:r>
              <w:rPr>
                <w:rFonts w:ascii="Times New Roman" w:hAnsi="Times New Roman"/>
                <w:color w:val="334155"/>
                <w:sz w:val="20"/>
              </w:rPr>
              <w:t>Applied agile GitHub version control; strictly adhered to India's DPDPA 2023 and Zero-Trust ethical security principles.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Level 3 (High)</w:t>
            </w:r>
          </w:p>
        </w:tc>
      </w:tr>
      <w:tr>
        <w:tc>
          <w:tcPr>
            <w:tcW w:type="dxa" w:w="1440"/>
            <w:shd w:val="clear" w:color="auto" w:fill="FFFFFF"/>
            <w:tcMar>
              <w:top w:w="80" w:type="dxa"/>
              <w:bottom w:w="80" w:type="dxa"/>
              <w:left w:w="120" w:type="dxa"/>
              <w:right w:w="120" w:type="dxa"/>
            </w:tcMar>
          </w:tcPr>
          <w:p>
            <w:r>
              <w:rPr>
                <w:rFonts w:ascii="Times New Roman" w:hAnsi="Times New Roman"/>
                <w:color w:val="334155"/>
                <w:sz w:val="20"/>
              </w:rPr>
              <w:t>CO5</w:t>
            </w:r>
          </w:p>
        </w:tc>
        <w:tc>
          <w:tcPr>
            <w:tcW w:type="dxa" w:w="2880"/>
            <w:shd w:val="clear" w:color="auto" w:fill="FFFFFF"/>
            <w:tcMar>
              <w:top w:w="80" w:type="dxa"/>
              <w:bottom w:w="80" w:type="dxa"/>
              <w:left w:w="120" w:type="dxa"/>
              <w:right w:w="120" w:type="dxa"/>
            </w:tcMar>
          </w:tcPr>
          <w:p>
            <w:r>
              <w:rPr>
                <w:rFonts w:ascii="Times New Roman" w:hAnsi="Times New Roman"/>
                <w:color w:val="334155"/>
                <w:sz w:val="20"/>
              </w:rPr>
              <w:t>Communicate project outcomes effectively through reports and presentations</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Authored comprehensive architectural specs, live system demonstrations, visual UI recordings, and this 50+ page dissertation.</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Level 3 (High)</w:t>
            </w:r>
          </w:p>
        </w:tc>
      </w:tr>
    </w:tbl>
    <w:p>
      <w:pPr>
        <w:spacing w:after="120"/>
      </w:pPr>
    </w:p>
    <w:p>
      <w:pPr>
        <w:pStyle w:val="Heading2"/>
        <w:keepNext/>
        <w:spacing w:before="280" w:after="120"/>
      </w:pPr>
      <w:r>
        <w:rPr>
          <w:rFonts w:ascii="Times New Roman" w:hAnsi="Times New Roman"/>
          <w:b/>
          <w:color w:val="0284C7"/>
          <w:sz w:val="27"/>
        </w:rPr>
        <w:t>1.8 Thesis Organization</w:t>
      </w:r>
    </w:p>
    <w:p>
      <w:pPr>
        <w:spacing w:line="312" w:lineRule="auto" w:after="120"/>
      </w:pPr>
      <w:r>
        <w:rPr>
          <w:rFonts w:ascii="Times New Roman" w:hAnsi="Times New Roman"/>
          <w:color w:val="1E293B"/>
          <w:sz w:val="24"/>
        </w:rPr>
        <w:t>This dissertation is organized into nine structured chapters:</w:t>
        <w:br/>
        <w:t>• Chapter 1 introduces the background, motivation, problem statement, objectives, and curricular alignment.</w:t>
        <w:br/>
        <w:t>• Chapter 2 provides an exhaustive literature review of EHR evolution, national digital health frameworks (ABDM), semantic ontologies (FHIR, ICD-10, LOINC), and clinical AI safety.</w:t>
        <w:br/>
        <w:t>• Chapter 3 details the System Requirements Specification (SRS), user personas, functional and non-functional requirements, and DPDPA compliance.</w:t>
        <w:br/>
        <w:t>• Chapter 4 presents the enterprise system architecture, Data Flow Diagrams (Level 0, 1, 2), federated HRC topology, ER model, UML sequences, and Zero-Trust RBAC.</w:t>
        <w:br/>
        <w:t>• Chapter 5 covers implementation details, modular router code, mathematical trajectory algorithms, React component hierarchy, and CSS design system.</w:t>
        <w:br/>
        <w:t>• Chapter 6 presents experimental results, performance benchmarks, test matrices, and the comprehensive visual walkthrough across all 17 figures.</w:t>
        <w:br/>
        <w:t>• Chapter 7 provides critical discussion on neuro-symbolic AI versus generative LLMs, architectural trade-offs, and clinical impact.</w:t>
        <w:br/>
        <w:t>• Chapter 8 concludes the dissertation with a summary of contributions, Course Outcome verification, limitations, and future research roadmap.</w:t>
        <w:br/>
        <w:t>• Chapter 9 provides standard academic references and bibliography.</w:t>
      </w:r>
    </w:p>
    <w:p>
      <w:r>
        <w:br w:type="page"/>
      </w:r>
    </w:p>
    <w:p>
      <w:pPr>
        <w:pStyle w:val="Heading1"/>
        <w:keepNext/>
        <w:spacing w:before="320" w:after="200"/>
      </w:pPr>
      <w:r>
        <w:rPr>
          <w:rFonts w:ascii="Times New Roman" w:hAnsi="Times New Roman"/>
          <w:b/>
          <w:color w:val="0F172A"/>
          <w:sz w:val="32"/>
        </w:rPr>
        <w:t>CHAPTER 2: LITERATURE REVIEW &amp; THEORETICAL FOUNDATIONS</w:t>
      </w:r>
    </w:p>
    <w:p>
      <w:pPr>
        <w:pStyle w:val="Heading2"/>
        <w:keepNext/>
        <w:spacing w:before="280" w:after="120"/>
      </w:pPr>
      <w:r>
        <w:rPr>
          <w:rFonts w:ascii="Times New Roman" w:hAnsi="Times New Roman"/>
          <w:b/>
          <w:color w:val="0284C7"/>
          <w:sz w:val="27"/>
        </w:rPr>
        <w:t>2.1 Evolution of Health Information Systems (EHR)</w:t>
      </w:r>
    </w:p>
    <w:p>
      <w:pPr>
        <w:spacing w:line="312" w:lineRule="auto" w:after="120"/>
      </w:pPr>
      <w:r>
        <w:rPr>
          <w:rFonts w:ascii="Times New Roman" w:hAnsi="Times New Roman"/>
          <w:color w:val="1E293B"/>
          <w:sz w:val="24"/>
        </w:rPr>
        <w:t>The digitization of medical records has evolved through three distinct technological eras over the past four decades:</w:t>
        <w:br/>
        <w:t>1. First Era (Billing &amp; Revenue Cycle Management - 1980s to 1990s): Early hospital information systems focused almost exclusively on financial transactions, patient admission-discharge-transfer (ADT) logs, and insurance claims processing. Clinical data remained overwhelmingly documented on physical paper charts.</w:t>
        <w:br/>
        <w:t>2. Second Era (Enterprise EHR Monoliths - 2000s to 2010s): Spurred by legislation such as the US HITECH Act (2009), healthcare organizations transitioned to comprehensive electronic health record systems (e.g., Epic Systems, Cerner/Oracle Health, Allscripts). These systems digitized clinical notes, computerized physician order entry (CPOE), and radiology/pathology results. However, they were engineered as centralized client-server monoliths. Each hospital deployed its own database instance, creating institutional data walled gardens. Exchanging clinical records across competing hospitals remained technically complex, commercially disincentivized, and legally constrained.</w:t>
        <w:br/>
        <w:t>3. Third Era (Citizen-Centric Longitudinal Platforms - 2020s to Present): Modern architectural paradigms recognize the citizen, rather than the institutional hospital, as the true owner and sovereign curator of their health data. Citizen-centric health platforms aggregate records across multi-vendor EMRs, consumer smartwatches, and diagnostic laboratories into a unified, chronological health graph.</w:t>
      </w:r>
    </w:p>
    <w:p>
      <w:pPr>
        <w:pStyle w:val="Heading2"/>
        <w:keepNext/>
        <w:spacing w:before="280" w:after="120"/>
      </w:pPr>
      <w:r>
        <w:rPr>
          <w:rFonts w:ascii="Times New Roman" w:hAnsi="Times New Roman"/>
          <w:b/>
          <w:color w:val="0284C7"/>
          <w:sz w:val="27"/>
        </w:rPr>
        <w:t>2.2 National Digital Health Ecosystems &amp; Digital Public Goods</w:t>
      </w:r>
    </w:p>
    <w:p>
      <w:pPr>
        <w:spacing w:line="312" w:lineRule="auto" w:after="120"/>
      </w:pPr>
      <w:r>
        <w:rPr>
          <w:rFonts w:ascii="Times New Roman" w:hAnsi="Times New Roman"/>
          <w:color w:val="1E293B"/>
          <w:sz w:val="24"/>
        </w:rPr>
        <w:t>Recognizing the market failure of proprietary EHR vendors in achieving cross-institutional interoperability, progressive governments worldwide have established open digital public goods for healthcare:</w:t>
        <w:br/>
        <w:t>• Estonia e-Health System: Estonia established a nationwide digital health record in 2008 powered by the X-Road decentralized data exchange layer. Over 99% of Estonian citizens have digital health records, and emergency doctors can access vital patient history within seconds.</w:t>
        <w:br/>
        <w:t>• UK NHS Spine: The United Kingdom National Health Service operates the NHS Spine, which links patient summary care records (SCR) across general practitioners, acute hospitals, and pharmacies.</w:t>
        <w:br/>
        <w:t>• India's Ayushman Bharat Digital Mission (ABDM): Launched nationwide in September 2021 by the National Health Authority, ABDM is creating an open digital health infrastructure for 1.4 billion people. ABDM defines four core registries: (1) ABHA (Ayushman Bharat Health Account) 14-digit citizen identifier, (2) Healthcare Professionals Registry (HPR), (3) Health Facility Registry (HFR), and (4) Unified Health Interface (UHI). ABDM operates on a federated architecture where health data remains at the source facility and is exchanged only upon explicit digital consent.</w:t>
      </w:r>
    </w:p>
    <w:p>
      <w:pPr>
        <w:pStyle w:val="Heading2"/>
        <w:keepNext/>
        <w:spacing w:before="280" w:after="120"/>
      </w:pPr>
      <w:r>
        <w:rPr>
          <w:rFonts w:ascii="Times New Roman" w:hAnsi="Times New Roman"/>
          <w:b/>
          <w:color w:val="0284C7"/>
          <w:sz w:val="27"/>
        </w:rPr>
        <w:t>2.3 International Healthcare Data Standards &amp; Semantic Ontologies</w:t>
      </w:r>
    </w:p>
    <w:p>
      <w:pPr>
        <w:spacing w:line="312" w:lineRule="auto" w:after="120"/>
      </w:pPr>
      <w:r>
        <w:rPr>
          <w:rFonts w:ascii="Times New Roman" w:hAnsi="Times New Roman"/>
          <w:color w:val="1E293B"/>
          <w:sz w:val="24"/>
        </w:rPr>
        <w:t>Interoperability between heterogeneous healthcare software requires shared syntax and shared clinical semantics. MediSutra aligns with the four foundational international standards:</w:t>
        <w:br/>
        <w:t>1. HL7 FHIR (Fast Healthcare Interoperability Resources) Release 4: The modern international standard for health data exchange. FHIR breaks complex clinical concepts into modular 'Resources' (e.g., Patient, Encounter, Condition, DiagnosticReport, Observation) serialized in JSON and accessible via RESTful APIs.</w:t>
        <w:br/>
        <w:t>2. WHO ICD-10 (International Classification of Diseases, 10th Revision): Published by the World Health Organization, ICD-10 provides alphanumeric diagnostic codes (e.g., E11.9 for Type 2 Diabetes Mellitus without complications, I10 for Essential Primary Hypertension, A90 for Dengue Fever). In MediSutra, every encounter diagnosis is stamped with an ICD-10 code to enable programmatic correlation.</w:t>
        <w:br/>
        <w:t>3. LOINC (Logical Observation Identifiers Names and Codes): The universal standard for identifying medical laboratory observations. Codes such as LOINC 4548-4 (HbA1c/Hemoglobin A1c in Blood) and LOINC 1558-6 (Fasting Glucose in Plasma) allow MediSutra to normalize biomarker names across Apollo, Lal PathLabs, and Metropolis.</w:t>
        <w:br/>
        <w:t>4. SNOMED-CT (Systematized Nomenclature of Medicine — Clinical Terms): A comprehensive multilingual clinical healthcare terminology providing standardized codes for clinical findings, symptoms, and surgical procedures.</w:t>
      </w:r>
    </w:p>
    <w:p>
      <w:pPr>
        <w:pStyle w:val="Heading2"/>
        <w:keepNext/>
        <w:spacing w:before="280" w:after="120"/>
      </w:pPr>
      <w:r>
        <w:rPr>
          <w:rFonts w:ascii="Times New Roman" w:hAnsi="Times New Roman"/>
          <w:b/>
          <w:color w:val="0284C7"/>
          <w:sz w:val="27"/>
        </w:rPr>
        <w:t>2.4 Clinical Artificial Intelligence &amp; Safety Engineering</w:t>
      </w:r>
    </w:p>
    <w:p>
      <w:pPr>
        <w:spacing w:line="312" w:lineRule="auto" w:after="120"/>
      </w:pPr>
      <w:r>
        <w:rPr>
          <w:rFonts w:ascii="Times New Roman" w:hAnsi="Times New Roman"/>
          <w:color w:val="1E293B"/>
          <w:sz w:val="24"/>
        </w:rPr>
        <w:t>The application of Artificial Intelligence in clinical medicine has transitioned through several computational paradigms:</w:t>
        <w:br/>
        <w:t>• Rule-Based Expert Systems (1970s–1980s): Systems such as MYCIN used backward-chaining inference engines with hundreds of handcrafted IF-THEN clinical rules. While transparent, they could not scale to the complexity of multi-condition patients.</w:t>
        <w:br/>
        <w:t>• Machine Learning &amp; Deep Learning (2010s): Convolutional Neural Networks (CNNs) achieved specialist-level performance in radiology imaging and dermatology photo classification. However, these systems operated as isolated classification models rather than holistic patient copilots.</w:t>
        <w:br/>
        <w:t>• Large Language Models (LLMs - 2020s): General-purpose models (GPT-4, Gemini) demonstrated remarkable natural language understanding of clinical text. However, extensive medical literature (Rajpurkar et al., 2022; Singhal et al., 2023) highlights catastrophic safety hazards when deploying unconstrained generative LLMs in live clinical workflows:</w:t>
        <w:br/>
        <w:t xml:space="preserve">    - Generative Hallucinations: Models fabricate non-existent laboratory readings or medication dosages with high linguistic confidence.</w:t>
        <w:br/>
        <w:t xml:space="preserve">    - Absence of Temporal Math: LLMs struggle with numerical arithmetic across multi-year dates, frequently misinterpreting whether a biomarker trajectory is improving or worsening.</w:t>
        <w:br/>
        <w:t xml:space="preserve">    - Lack of Evidence Grounding: Conventional chatbots provide narrative answers without citing the exact medical record, facility name, or report date.</w:t>
        <w:br/>
        <w:br/>
        <w:t>MediSutra resolves this fundamental safety flaw through a Deterministic, Neuro-Symbolic Architecture. Instead of allowing unconstrained generative synthesis, MediSutra uses deterministic database queries, quantitative trajectory algorithms, and multi-hospital provenance citations.</w:t>
      </w:r>
    </w:p>
    <w:p>
      <w:pPr>
        <w:pStyle w:val="Heading2"/>
        <w:keepNext/>
        <w:spacing w:before="280" w:after="120"/>
      </w:pPr>
      <w:r>
        <w:rPr>
          <w:rFonts w:ascii="Times New Roman" w:hAnsi="Times New Roman"/>
          <w:b/>
          <w:color w:val="0284C7"/>
          <w:sz w:val="27"/>
        </w:rPr>
        <w:t>2.5 Comparative Analysis of Existing Healthcare Platforms</w:t>
      </w:r>
    </w:p>
    <w:p>
      <w:pPr>
        <w:spacing w:line="312" w:lineRule="auto" w:after="120"/>
      </w:pPr>
      <w:r>
        <w:rPr>
          <w:rFonts w:ascii="Times New Roman" w:hAnsi="Times New Roman"/>
          <w:color w:val="1E293B"/>
          <w:sz w:val="24"/>
        </w:rPr>
        <w:t>To benchmark MediSutra, existing solutions were evaluated across five critical architectural criteria:</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84"/>
            <w:shd w:val="clear" w:color="auto" w:fill="E0F2FE"/>
            <w:tcMar>
              <w:top w:w="120" w:type="dxa"/>
              <w:bottom w:w="120" w:type="dxa"/>
              <w:left w:w="150" w:type="dxa"/>
              <w:right w:w="150" w:type="dxa"/>
            </w:tcMar>
          </w:tcPr>
          <w:p>
            <w:r>
              <w:rPr>
                <w:rFonts w:ascii="Times New Roman" w:hAnsi="Times New Roman"/>
                <w:b/>
                <w:color w:val="0F172A"/>
                <w:sz w:val="21"/>
              </w:rPr>
              <w:t>Platform</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Architectural Scope</w:t>
            </w:r>
          </w:p>
        </w:tc>
        <w:tc>
          <w:tcPr>
            <w:tcW w:type="dxa" w:w="1728"/>
            <w:shd w:val="clear" w:color="auto" w:fill="E0F2FE"/>
            <w:tcMar>
              <w:top w:w="120" w:type="dxa"/>
              <w:bottom w:w="120" w:type="dxa"/>
              <w:left w:w="150" w:type="dxa"/>
              <w:right w:w="150" w:type="dxa"/>
            </w:tcMar>
          </w:tcPr>
          <w:p>
            <w:r>
              <w:rPr>
                <w:rFonts w:ascii="Times New Roman" w:hAnsi="Times New Roman"/>
                <w:b/>
                <w:color w:val="0F172A"/>
                <w:sz w:val="21"/>
              </w:rPr>
              <w:t>Multi-Hospital Federation</w:t>
            </w:r>
          </w:p>
        </w:tc>
        <w:tc>
          <w:tcPr>
            <w:tcW w:type="dxa" w:w="1584"/>
            <w:shd w:val="clear" w:color="auto" w:fill="E0F2FE"/>
            <w:tcMar>
              <w:top w:w="120" w:type="dxa"/>
              <w:bottom w:w="120" w:type="dxa"/>
              <w:left w:w="150" w:type="dxa"/>
              <w:right w:w="150" w:type="dxa"/>
            </w:tcMar>
          </w:tcPr>
          <w:p>
            <w:r>
              <w:rPr>
                <w:rFonts w:ascii="Times New Roman" w:hAnsi="Times New Roman"/>
                <w:b/>
                <w:color w:val="0F172A"/>
                <w:sz w:val="21"/>
              </w:rPr>
              <w:t>Lifetime Disease Tracking</w:t>
            </w:r>
          </w:p>
        </w:tc>
        <w:tc>
          <w:tcPr>
            <w:tcW w:type="dxa" w:w="1728"/>
            <w:shd w:val="clear" w:color="auto" w:fill="E0F2FE"/>
            <w:tcMar>
              <w:top w:w="120" w:type="dxa"/>
              <w:bottom w:w="120" w:type="dxa"/>
              <w:left w:w="150" w:type="dxa"/>
              <w:right w:w="150" w:type="dxa"/>
            </w:tcMar>
          </w:tcPr>
          <w:p>
            <w:r>
              <w:rPr>
                <w:rFonts w:ascii="Times New Roman" w:hAnsi="Times New Roman"/>
                <w:b/>
                <w:color w:val="0F172A"/>
                <w:sz w:val="21"/>
              </w:rPr>
              <w:t>Deterministic AI Copilot</w:t>
            </w:r>
          </w:p>
        </w:tc>
        <w:tc>
          <w:tcPr>
            <w:tcW w:type="dxa" w:w="1296"/>
            <w:shd w:val="clear" w:color="auto" w:fill="E0F2FE"/>
            <w:tcMar>
              <w:top w:w="120" w:type="dxa"/>
              <w:bottom w:w="120" w:type="dxa"/>
              <w:left w:w="150" w:type="dxa"/>
              <w:right w:w="150" w:type="dxa"/>
            </w:tcMar>
          </w:tcPr>
          <w:p>
            <w:r>
              <w:rPr>
                <w:rFonts w:ascii="Times New Roman" w:hAnsi="Times New Roman"/>
                <w:b/>
                <w:color w:val="0F172A"/>
                <w:sz w:val="21"/>
              </w:rPr>
              <w:t>Indian ABDM Alignment</w:t>
            </w:r>
          </w:p>
        </w:tc>
      </w:tr>
      <w:tr>
        <w:tc>
          <w:tcPr>
            <w:tcW w:type="dxa" w:w="1584"/>
            <w:shd w:val="clear" w:color="auto" w:fill="FFFFFF"/>
            <w:tcMar>
              <w:top w:w="80" w:type="dxa"/>
              <w:bottom w:w="80" w:type="dxa"/>
              <w:left w:w="120" w:type="dxa"/>
              <w:right w:w="120" w:type="dxa"/>
            </w:tcMar>
          </w:tcPr>
          <w:p>
            <w:r>
              <w:rPr>
                <w:rFonts w:ascii="Times New Roman" w:hAnsi="Times New Roman"/>
                <w:color w:val="334155"/>
                <w:sz w:val="20"/>
              </w:rPr>
              <w:t>Epic MyChart</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Proprietary Enterprise EHR</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Limited (Requires Epic-to-Epic Care Everywhere)</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Moderate (Mixed acute/chronic list)</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Generative Drafting (Hallucination risk)</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No (US HIPAA Centric)</w:t>
            </w:r>
          </w:p>
        </w:tc>
      </w:tr>
      <w:tr>
        <w:tc>
          <w:tcPr>
            <w:tcW w:type="dxa" w:w="1584"/>
            <w:shd w:val="clear" w:color="auto" w:fill="F8FAFC"/>
            <w:tcMar>
              <w:top w:w="80" w:type="dxa"/>
              <w:bottom w:w="80" w:type="dxa"/>
              <w:left w:w="120" w:type="dxa"/>
              <w:right w:w="120" w:type="dxa"/>
            </w:tcMar>
          </w:tcPr>
          <w:p>
            <w:r>
              <w:rPr>
                <w:rFonts w:ascii="Times New Roman" w:hAnsi="Times New Roman"/>
                <w:color w:val="334155"/>
                <w:sz w:val="20"/>
              </w:rPr>
              <w:t>Apple Health</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Consumer Mobile Device</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Patient-pulled (Direct FHIR connection)</w:t>
            </w:r>
          </w:p>
        </w:tc>
        <w:tc>
          <w:tcPr>
            <w:tcW w:type="dxa" w:w="1584"/>
            <w:shd w:val="clear" w:color="auto" w:fill="F8FAFC"/>
            <w:tcMar>
              <w:top w:w="80" w:type="dxa"/>
              <w:bottom w:w="80" w:type="dxa"/>
              <w:left w:w="120" w:type="dxa"/>
              <w:right w:w="120" w:type="dxa"/>
            </w:tcMar>
          </w:tcPr>
          <w:p>
            <w:r>
              <w:rPr>
                <w:rFonts w:ascii="Times New Roman" w:hAnsi="Times New Roman"/>
                <w:color w:val="334155"/>
                <w:sz w:val="20"/>
              </w:rPr>
              <w:t>No (Unstructured flat document list)</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Basic Trend Graphs only</w:t>
            </w:r>
          </w:p>
        </w:tc>
        <w:tc>
          <w:tcPr>
            <w:tcW w:type="dxa" w:w="1296"/>
            <w:shd w:val="clear" w:color="auto" w:fill="F8FAFC"/>
            <w:tcMar>
              <w:top w:w="80" w:type="dxa"/>
              <w:bottom w:w="80" w:type="dxa"/>
              <w:left w:w="120" w:type="dxa"/>
              <w:right w:w="120" w:type="dxa"/>
            </w:tcMar>
          </w:tcPr>
          <w:p>
            <w:r>
              <w:rPr>
                <w:rFonts w:ascii="Times New Roman" w:hAnsi="Times New Roman"/>
                <w:color w:val="334155"/>
                <w:sz w:val="20"/>
              </w:rPr>
              <w:t>No</w:t>
            </w:r>
          </w:p>
        </w:tc>
      </w:tr>
      <w:tr>
        <w:tc>
          <w:tcPr>
            <w:tcW w:type="dxa" w:w="1584"/>
            <w:shd w:val="clear" w:color="auto" w:fill="FFFFFF"/>
            <w:tcMar>
              <w:top w:w="80" w:type="dxa"/>
              <w:bottom w:w="80" w:type="dxa"/>
              <w:left w:w="120" w:type="dxa"/>
              <w:right w:w="120" w:type="dxa"/>
            </w:tcMar>
          </w:tcPr>
          <w:p>
            <w:r>
              <w:rPr>
                <w:rFonts w:ascii="Times New Roman" w:hAnsi="Times New Roman"/>
                <w:color w:val="334155"/>
                <w:sz w:val="20"/>
              </w:rPr>
              <w:t>ABDM PHR Apps (Official)</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National Public Good</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Yes (Federal Consent Architecture)</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No (Static PDF view and download)</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None</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Native</w:t>
            </w:r>
          </w:p>
        </w:tc>
      </w:tr>
      <w:tr>
        <w:tc>
          <w:tcPr>
            <w:tcW w:type="dxa" w:w="1584"/>
            <w:shd w:val="clear" w:color="auto" w:fill="F8FAFC"/>
            <w:tcMar>
              <w:top w:w="80" w:type="dxa"/>
              <w:bottom w:w="80" w:type="dxa"/>
              <w:left w:w="120" w:type="dxa"/>
              <w:right w:w="120" w:type="dxa"/>
            </w:tcMar>
          </w:tcPr>
          <w:p>
            <w:r>
              <w:rPr>
                <w:rFonts w:ascii="Times New Roman" w:hAnsi="Times New Roman"/>
                <w:color w:val="334155"/>
                <w:sz w:val="20"/>
              </w:rPr>
              <w:t>Practo / 1mg</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Commercial Tele-Health</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No (Restricted to commercial network)</w:t>
            </w:r>
          </w:p>
        </w:tc>
        <w:tc>
          <w:tcPr>
            <w:tcW w:type="dxa" w:w="1584"/>
            <w:shd w:val="clear" w:color="auto" w:fill="F8FAFC"/>
            <w:tcMar>
              <w:top w:w="80" w:type="dxa"/>
              <w:bottom w:w="80" w:type="dxa"/>
              <w:left w:w="120" w:type="dxa"/>
              <w:right w:w="120" w:type="dxa"/>
            </w:tcMar>
          </w:tcPr>
          <w:p>
            <w:r>
              <w:rPr>
                <w:rFonts w:ascii="Times New Roman" w:hAnsi="Times New Roman"/>
                <w:color w:val="334155"/>
                <w:sz w:val="20"/>
              </w:rPr>
              <w:t>No (Prescription history only)</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Basic Customer FAQ Bot</w:t>
            </w:r>
          </w:p>
        </w:tc>
        <w:tc>
          <w:tcPr>
            <w:tcW w:type="dxa" w:w="1296"/>
            <w:shd w:val="clear" w:color="auto" w:fill="F8FAFC"/>
            <w:tcMar>
              <w:top w:w="80" w:type="dxa"/>
              <w:bottom w:w="80" w:type="dxa"/>
              <w:left w:w="120" w:type="dxa"/>
              <w:right w:w="120" w:type="dxa"/>
            </w:tcMar>
          </w:tcPr>
          <w:p>
            <w:r>
              <w:rPr>
                <w:rFonts w:ascii="Times New Roman" w:hAnsi="Times New Roman"/>
                <w:color w:val="334155"/>
                <w:sz w:val="20"/>
              </w:rPr>
              <w:t>Partial</w:t>
            </w:r>
          </w:p>
        </w:tc>
      </w:tr>
      <w:tr>
        <w:tc>
          <w:tcPr>
            <w:tcW w:type="dxa" w:w="1584"/>
            <w:shd w:val="clear" w:color="auto" w:fill="FFFFFF"/>
            <w:tcMar>
              <w:top w:w="80" w:type="dxa"/>
              <w:bottom w:w="80" w:type="dxa"/>
              <w:left w:w="120" w:type="dxa"/>
              <w:right w:w="120" w:type="dxa"/>
            </w:tcMar>
          </w:tcPr>
          <w:p>
            <w:r>
              <w:rPr>
                <w:rFonts w:ascii="Times New Roman" w:hAnsi="Times New Roman"/>
                <w:color w:val="334155"/>
                <w:sz w:val="20"/>
              </w:rPr>
              <w:t>MediSutra (Proposed)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Sovereign HRC &amp; Clinical Copilot</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Yes (Fully Federated Network)</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Yes (Explicit Active vs. Cured separation)</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Yes (Evidence-Grounded Neuro-Symbolic)</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Native (14-Digit ABHA &amp; DPDPA 2023)</w:t>
            </w:r>
          </w:p>
        </w:tc>
      </w:tr>
    </w:tbl>
    <w:p>
      <w:pPr>
        <w:spacing w:after="120"/>
      </w:pPr>
    </w:p>
    <w:p>
      <w:pPr>
        <w:pStyle w:val="Heading2"/>
        <w:keepNext/>
        <w:spacing w:before="280" w:after="120"/>
      </w:pPr>
      <w:r>
        <w:rPr>
          <w:rFonts w:ascii="Times New Roman" w:hAnsi="Times New Roman"/>
          <w:b/>
          <w:color w:val="0284C7"/>
          <w:sz w:val="27"/>
        </w:rPr>
        <w:t>2.6 Research Gaps and Problem Opportunities</w:t>
      </w:r>
    </w:p>
    <w:p>
      <w:pPr>
        <w:spacing w:line="312" w:lineRule="auto" w:after="120"/>
      </w:pPr>
      <w:r>
        <w:rPr>
          <w:rFonts w:ascii="Times New Roman" w:hAnsi="Times New Roman"/>
          <w:color w:val="1E293B"/>
          <w:sz w:val="24"/>
        </w:rPr>
        <w:t>The literature review reveals three profound research and engineering gaps in current health IT systems:</w:t>
        <w:br/>
        <w:t>1. Gap 1 (The Document Dump Problem): Existing ABDM and PHR applications treat health data as static collections of PDF documents. Attending clinicians in busy outpatient departments cannot review 30 multi-page PDF files during a brief consultation. Records must be parsed, structured, and presented condition-centrically.</w:t>
        <w:br/>
        <w:t>2. Gap 2 (Lack of Cure Lifecycle Certification): In current EHRs, once a diagnosis (e.g., Dengue, Acute Bronchitis) is entered, it lingers in problem lists indefinitely. There is no formalized clinical workflow for certifying disease resolution with date and diagnostic evidence.</w:t>
        <w:br/>
        <w:t>3. Gap 3 (Absence of Clinically Grounded AI Copilots): Existing medical AI tools either focus on imaging or ungrounded generative chatbots. There is an acute lack of deterministic, cross-hospital copilots that correlate presenting symptoms directly with multi-facility historical records.</w:t>
        <w:br/>
        <w:br/>
        <w:t>MediSutra is specifically architected to bridge these three critical gaps.</w:t>
      </w:r>
    </w:p>
    <w:p>
      <w:r>
        <w:br w:type="page"/>
      </w:r>
    </w:p>
    <w:p>
      <w:pPr>
        <w:pStyle w:val="Heading1"/>
        <w:keepNext/>
        <w:spacing w:before="320" w:after="200"/>
      </w:pPr>
      <w:r>
        <w:rPr>
          <w:rFonts w:ascii="Times New Roman" w:hAnsi="Times New Roman"/>
          <w:b/>
          <w:color w:val="0F172A"/>
          <w:sz w:val="32"/>
        </w:rPr>
        <w:t>CHAPTER 3: SYSTEM REQUIREMENTS SPECIFICATION (SRS)</w:t>
      </w:r>
    </w:p>
    <w:p>
      <w:pPr>
        <w:pStyle w:val="Heading2"/>
        <w:keepNext/>
        <w:spacing w:before="280" w:after="120"/>
      </w:pPr>
      <w:r>
        <w:rPr>
          <w:rFonts w:ascii="Times New Roman" w:hAnsi="Times New Roman"/>
          <w:b/>
          <w:color w:val="0284C7"/>
          <w:sz w:val="27"/>
        </w:rPr>
        <w:t>3.1 Stakeholder Analysis &amp; User Personas</w:t>
      </w:r>
    </w:p>
    <w:p>
      <w:pPr>
        <w:spacing w:line="312" w:lineRule="auto" w:after="120"/>
      </w:pPr>
      <w:r>
        <w:rPr>
          <w:rFonts w:ascii="Times New Roman" w:hAnsi="Times New Roman"/>
          <w:color w:val="1E293B"/>
          <w:sz w:val="24"/>
        </w:rPr>
        <w:t>The MediSutra platform is designed around four primary healthcare stakeholders, each with distinct operational requirements and security constraints:</w:t>
      </w:r>
    </w:p>
    <w:tbl>
      <w:tblPr>
        <w:tblW w:type="auto" w:w="0"/>
        <w:jc w:val="center"/>
        <w:tblLook w:firstColumn="1" w:firstRow="1" w:lastColumn="0" w:lastRow="0" w:noHBand="0" w:noVBand="1" w:val="04A0"/>
      </w:tblPr>
      <w:tblGrid>
        <w:gridCol w:w="2250"/>
        <w:gridCol w:w="2250"/>
        <w:gridCol w:w="2250"/>
        <w:gridCol w:w="2250"/>
      </w:tblGrid>
      <w:tr>
        <w:tc>
          <w:tcPr>
            <w:tcW w:type="dxa" w:w="1728"/>
            <w:shd w:val="clear" w:color="auto" w:fill="E0F2FE"/>
            <w:tcMar>
              <w:top w:w="120" w:type="dxa"/>
              <w:bottom w:w="120" w:type="dxa"/>
              <w:left w:w="150" w:type="dxa"/>
              <w:right w:w="150" w:type="dxa"/>
            </w:tcMar>
          </w:tcPr>
          <w:p>
            <w:r>
              <w:rPr>
                <w:rFonts w:ascii="Times New Roman" w:hAnsi="Times New Roman"/>
                <w:b/>
                <w:color w:val="0F172A"/>
                <w:sz w:val="21"/>
              </w:rPr>
              <w:t>Persona</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Role &amp; Institutional Affiliation</w:t>
            </w:r>
          </w:p>
        </w:tc>
        <w:tc>
          <w:tcPr>
            <w:tcW w:type="dxa" w:w="3456"/>
            <w:shd w:val="clear" w:color="auto" w:fill="E0F2FE"/>
            <w:tcMar>
              <w:top w:w="120" w:type="dxa"/>
              <w:bottom w:w="120" w:type="dxa"/>
              <w:left w:w="150" w:type="dxa"/>
              <w:right w:w="150" w:type="dxa"/>
            </w:tcMar>
          </w:tcPr>
          <w:p>
            <w:r>
              <w:rPr>
                <w:rFonts w:ascii="Times New Roman" w:hAnsi="Times New Roman"/>
                <w:b/>
                <w:color w:val="0F172A"/>
                <w:sz w:val="21"/>
              </w:rPr>
              <w:t>Primary Workflows &amp; Capabilities</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Access Constraints</w:t>
            </w:r>
          </w:p>
        </w:tc>
      </w:tr>
      <w:tr>
        <w:tc>
          <w:tcPr>
            <w:tcW w:type="dxa" w:w="1728"/>
            <w:shd w:val="clear" w:color="auto" w:fill="FFFFFF"/>
            <w:tcMar>
              <w:top w:w="80" w:type="dxa"/>
              <w:bottom w:w="80" w:type="dxa"/>
              <w:left w:w="120" w:type="dxa"/>
              <w:right w:w="120" w:type="dxa"/>
            </w:tcMar>
          </w:tcPr>
          <w:p>
            <w:r>
              <w:rPr>
                <w:rFonts w:ascii="Times New Roman" w:hAnsi="Times New Roman"/>
                <w:color w:val="334155"/>
                <w:sz w:val="20"/>
              </w:rPr>
              <w:t>Attending Specialist Physician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Licensed Doctor (e.g., Dr. Priya Nair, Internal Medicine, Apollo Hospitals)</w:t>
            </w:r>
          </w:p>
        </w:tc>
        <w:tc>
          <w:tcPr>
            <w:tcW w:type="dxa" w:w="3456"/>
            <w:shd w:val="clear" w:color="auto" w:fill="FFFFFF"/>
            <w:tcMar>
              <w:top w:w="80" w:type="dxa"/>
              <w:bottom w:w="80" w:type="dxa"/>
              <w:left w:w="120" w:type="dxa"/>
              <w:right w:w="120" w:type="dxa"/>
            </w:tcMar>
          </w:tcPr>
          <w:p>
            <w:r>
              <w:rPr>
                <w:rFonts w:ascii="Times New Roman" w:hAnsi="Times New Roman"/>
                <w:color w:val="334155"/>
                <w:sz w:val="20"/>
              </w:rPr>
              <w:t>Inspect longitudinal patient dossiers, review active/cured diseases, record new encounters, certify cure milestones, operate Clinical AI Copilot.</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Restricted to assigned or explicitly consented patients. Cannot alter administrative hospital configurations.</w:t>
            </w:r>
          </w:p>
        </w:tc>
      </w:tr>
      <w:tr>
        <w:tc>
          <w:tcPr>
            <w:tcW w:type="dxa" w:w="1728"/>
            <w:shd w:val="clear" w:color="auto" w:fill="F8FAFC"/>
            <w:tcMar>
              <w:top w:w="80" w:type="dxa"/>
              <w:bottom w:w="80" w:type="dxa"/>
              <w:left w:w="120" w:type="dxa"/>
              <w:right w:w="120" w:type="dxa"/>
            </w:tcMar>
          </w:tcPr>
          <w:p>
            <w:r>
              <w:rPr>
                <w:rFonts w:ascii="Times New Roman" w:hAnsi="Times New Roman"/>
                <w:color w:val="334155"/>
                <w:sz w:val="20"/>
              </w:rPr>
              <w:t>Hospital Clinical Administrator</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Facility Operations Admin (e.g., Apollo, Fortis, Max Admin)</w:t>
            </w:r>
          </w:p>
        </w:tc>
        <w:tc>
          <w:tcPr>
            <w:tcW w:type="dxa" w:w="3456"/>
            <w:shd w:val="clear" w:color="auto" w:fill="F8FAFC"/>
            <w:tcMar>
              <w:top w:w="80" w:type="dxa"/>
              <w:bottom w:w="80" w:type="dxa"/>
              <w:left w:w="120" w:type="dxa"/>
              <w:right w:w="120" w:type="dxa"/>
            </w:tcMar>
          </w:tcPr>
          <w:p>
            <w:r>
              <w:rPr>
                <w:rFonts w:ascii="Times New Roman" w:hAnsi="Times New Roman"/>
                <w:color w:val="334155"/>
                <w:sz w:val="20"/>
              </w:rPr>
              <w:t>Manage hospital profile, verify affiliated doctor credentials, monitor departmental inpatient capacity, audit facility-wide encounter statistics.</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Cannot inspect individual patient clinical charts without explicit consent.</w:t>
            </w:r>
          </w:p>
        </w:tc>
      </w:tr>
      <w:tr>
        <w:tc>
          <w:tcPr>
            <w:tcW w:type="dxa" w:w="1728"/>
            <w:shd w:val="clear" w:color="auto" w:fill="FFFFFF"/>
            <w:tcMar>
              <w:top w:w="80" w:type="dxa"/>
              <w:bottom w:w="80" w:type="dxa"/>
              <w:left w:w="120" w:type="dxa"/>
              <w:right w:w="120" w:type="dxa"/>
            </w:tcMar>
          </w:tcPr>
          <w:p>
            <w:r>
              <w:rPr>
                <w:rFonts w:ascii="Times New Roman" w:hAnsi="Times New Roman"/>
                <w:color w:val="334155"/>
                <w:sz w:val="20"/>
              </w:rPr>
              <w:t>Sovereign Citizen / Patient</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Indian Citizen (e.g., Rahul Sharma, ABHA: 14-Digit ID)</w:t>
            </w:r>
          </w:p>
        </w:tc>
        <w:tc>
          <w:tcPr>
            <w:tcW w:type="dxa" w:w="3456"/>
            <w:shd w:val="clear" w:color="auto" w:fill="FFFFFF"/>
            <w:tcMar>
              <w:top w:w="80" w:type="dxa"/>
              <w:bottom w:w="80" w:type="dxa"/>
              <w:left w:w="120" w:type="dxa"/>
              <w:right w:w="120" w:type="dxa"/>
            </w:tcMar>
          </w:tcPr>
          <w:p>
            <w:r>
              <w:rPr>
                <w:rFonts w:ascii="Times New Roman" w:hAnsi="Times New Roman"/>
                <w:color w:val="334155"/>
                <w:sz w:val="20"/>
              </w:rPr>
              <w:t>Access personal and family DigiLocker, view complete lifetime health journey, view ABHA identity card with QR code, manage consent sharing.</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Full sovereign control over own dossier. Read-only access to doctor clinical notes.</w:t>
            </w:r>
          </w:p>
        </w:tc>
      </w:tr>
      <w:tr>
        <w:tc>
          <w:tcPr>
            <w:tcW w:type="dxa" w:w="1728"/>
            <w:shd w:val="clear" w:color="auto" w:fill="F8FAFC"/>
            <w:tcMar>
              <w:top w:w="80" w:type="dxa"/>
              <w:bottom w:w="80" w:type="dxa"/>
              <w:left w:w="120" w:type="dxa"/>
              <w:right w:w="120" w:type="dxa"/>
            </w:tcMar>
          </w:tcPr>
          <w:p>
            <w:r>
              <w:rPr>
                <w:rFonts w:ascii="Times New Roman" w:hAnsi="Times New Roman"/>
                <w:color w:val="334155"/>
                <w:sz w:val="20"/>
              </w:rPr>
              <w:t>Pathology Lab Technician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Diagnostic Center Staff (e.g., Dr. Lal PathLabs, Metropolis)</w:t>
            </w:r>
          </w:p>
        </w:tc>
        <w:tc>
          <w:tcPr>
            <w:tcW w:type="dxa" w:w="3456"/>
            <w:shd w:val="clear" w:color="auto" w:fill="F8FAFC"/>
            <w:tcMar>
              <w:top w:w="80" w:type="dxa"/>
              <w:bottom w:w="80" w:type="dxa"/>
              <w:left w:w="120" w:type="dxa"/>
              <w:right w:w="120" w:type="dxa"/>
            </w:tcMar>
          </w:tcPr>
          <w:p>
            <w:r>
              <w:rPr>
                <w:rFonts w:ascii="Times New Roman" w:hAnsi="Times New Roman"/>
                <w:color w:val="334155"/>
                <w:sz w:val="20"/>
              </w:rPr>
              <w:t>Upload diagnostic test panels, enter quantitative biomarker parameters (HbA1c, Glucose), stamp laboratory accreditation.</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Can only insert lab reports for authorized patient health IDs. Cannot modify clinical encounter notes.</w:t>
            </w:r>
          </w:p>
        </w:tc>
      </w:tr>
    </w:tbl>
    <w:p>
      <w:pPr>
        <w:spacing w:after="120"/>
      </w:pPr>
    </w:p>
    <w:p>
      <w:pPr>
        <w:pStyle w:val="Heading2"/>
        <w:keepNext/>
        <w:spacing w:before="280" w:after="120"/>
      </w:pPr>
      <w:r>
        <w:rPr>
          <w:rFonts w:ascii="Times New Roman" w:hAnsi="Times New Roman"/>
          <w:b/>
          <w:color w:val="0284C7"/>
          <w:sz w:val="27"/>
        </w:rPr>
        <w:t>3.2 Functional Requirements Specification (FRS)</w:t>
      </w:r>
    </w:p>
    <w:p>
      <w:pPr>
        <w:spacing w:line="312" w:lineRule="auto" w:after="120"/>
      </w:pPr>
      <w:r>
        <w:rPr>
          <w:rFonts w:ascii="Times New Roman" w:hAnsi="Times New Roman"/>
          <w:color w:val="1E293B"/>
          <w:sz w:val="24"/>
        </w:rPr>
        <w:t>The system implements ten comprehensive functional requirement modules:</w:t>
      </w:r>
    </w:p>
    <w:p>
      <w:pPr>
        <w:pStyle w:val="ListBullet"/>
        <w:spacing w:line="300" w:lineRule="auto" w:after="80"/>
      </w:pPr>
      <w:r>
        <w:rPr>
          <w:rFonts w:ascii="Times New Roman" w:hAnsi="Times New Roman"/>
          <w:b/>
          <w:color w:val="0F172A"/>
          <w:sz w:val="23"/>
        </w:rPr>
        <w:t xml:space="preserve">FRS-1 (Zero-Trust Gatekeeper Authentication): </w:t>
      </w:r>
      <w:r>
        <w:rPr>
          <w:rFonts w:ascii="Times New Roman" w:hAnsi="Times New Roman"/>
          <w:color w:val="334155"/>
          <w:sz w:val="23"/>
        </w:rPr>
        <w:t>The system shall authenticate users into strictly partitioned workspaces based on their role (Doctor, Hospital Admin, Sovereign Citizen). Unauthenticated users shall be prevented from accessing cross-account clinical dossiers.</w:t>
      </w:r>
    </w:p>
    <w:p>
      <w:pPr>
        <w:pStyle w:val="ListBullet"/>
        <w:spacing w:line="300" w:lineRule="auto" w:after="80"/>
      </w:pPr>
      <w:r>
        <w:rPr>
          <w:rFonts w:ascii="Times New Roman" w:hAnsi="Times New Roman"/>
          <w:b/>
          <w:color w:val="0F172A"/>
          <w:sz w:val="23"/>
        </w:rPr>
        <w:t xml:space="preserve">FRS-2 (Unified Health Identity Registry): </w:t>
      </w:r>
      <w:r>
        <w:rPr>
          <w:rFonts w:ascii="Times New Roman" w:hAnsi="Times New Roman"/>
          <w:color w:val="334155"/>
          <w:sz w:val="23"/>
        </w:rPr>
        <w:t>The system shall maintain a national patient registry where every citizen is identified by an ABHA-compliant 14-digit identifier and unique internal health ID.</w:t>
      </w:r>
    </w:p>
    <w:p>
      <w:pPr>
        <w:pStyle w:val="ListBullet"/>
        <w:spacing w:line="300" w:lineRule="auto" w:after="80"/>
      </w:pPr>
      <w:r>
        <w:rPr>
          <w:rFonts w:ascii="Times New Roman" w:hAnsi="Times New Roman"/>
          <w:b/>
          <w:color w:val="0F172A"/>
          <w:sz w:val="23"/>
        </w:rPr>
        <w:t xml:space="preserve">FRS-3 (Federated Multi-Hospital Network Directory): </w:t>
      </w:r>
      <w:r>
        <w:rPr>
          <w:rFonts w:ascii="Times New Roman" w:hAnsi="Times New Roman"/>
          <w:color w:val="334155"/>
          <w:sz w:val="23"/>
        </w:rPr>
        <w:t>The platform shall connect participating healthcare institutions (Apollo, Fortis, Max, AIIMS) and diagnostic chains into an interoperable network directory with contact details, accreditations, and station status.</w:t>
      </w:r>
    </w:p>
    <w:p>
      <w:pPr>
        <w:pStyle w:val="ListBullet"/>
        <w:spacing w:line="300" w:lineRule="auto" w:after="80"/>
      </w:pPr>
      <w:r>
        <w:rPr>
          <w:rFonts w:ascii="Times New Roman" w:hAnsi="Times New Roman"/>
          <w:b/>
          <w:color w:val="0F172A"/>
          <w:sz w:val="23"/>
        </w:rPr>
        <w:t xml:space="preserve">FRS-4 (Clinical Encounter Recording): </w:t>
      </w:r>
      <w:r>
        <w:rPr>
          <w:rFonts w:ascii="Times New Roman" w:hAnsi="Times New Roman"/>
          <w:color w:val="334155"/>
          <w:sz w:val="23"/>
        </w:rPr>
        <w:t>Licensed doctors shall be able to record structured clinical encounters capturing title, ICD-10 code, disease category, clinical severity (Mild, Moderate, Severe), clinical examination notes, and facility stamp.</w:t>
      </w:r>
    </w:p>
    <w:p>
      <w:pPr>
        <w:pStyle w:val="ListBullet"/>
        <w:spacing w:line="300" w:lineRule="auto" w:after="80"/>
      </w:pPr>
      <w:r>
        <w:rPr>
          <w:rFonts w:ascii="Times New Roman" w:hAnsi="Times New Roman"/>
          <w:b/>
          <w:color w:val="0F172A"/>
          <w:sz w:val="23"/>
        </w:rPr>
        <w:t xml:space="preserve">FRS-5 (Disease Cure Certification Workflow): </w:t>
      </w:r>
      <w:r>
        <w:rPr>
          <w:rFonts w:ascii="Times New Roman" w:hAnsi="Times New Roman"/>
          <w:color w:val="334155"/>
          <w:sz w:val="23"/>
        </w:rPr>
        <w:t>Doctors shall have dedicated workflows to certify an active condition as 'RESOLVED / CURED' by submitting resolution date, follow-up examination notes, and confirmatory diagnostic evidence.</w:t>
      </w:r>
    </w:p>
    <w:p>
      <w:pPr>
        <w:pStyle w:val="ListBullet"/>
        <w:spacing w:line="300" w:lineRule="auto" w:after="80"/>
      </w:pPr>
      <w:r>
        <w:rPr>
          <w:rFonts w:ascii="Times New Roman" w:hAnsi="Times New Roman"/>
          <w:b/>
          <w:color w:val="0F172A"/>
          <w:sz w:val="23"/>
        </w:rPr>
        <w:t xml:space="preserve">FRS-6 (Lifetime Disease Separation): </w:t>
      </w:r>
      <w:r>
        <w:rPr>
          <w:rFonts w:ascii="Times New Roman" w:hAnsi="Times New Roman"/>
          <w:color w:val="334155"/>
          <w:sz w:val="23"/>
        </w:rPr>
        <w:t>The system shall maintain explicit visual and structural separation between Active Ongoing Conditions and Cured / Resolved Historical Illnesses across the patient's lifespan.</w:t>
      </w:r>
    </w:p>
    <w:p>
      <w:pPr>
        <w:pStyle w:val="ListBullet"/>
        <w:spacing w:line="300" w:lineRule="auto" w:after="80"/>
      </w:pPr>
      <w:r>
        <w:rPr>
          <w:rFonts w:ascii="Times New Roman" w:hAnsi="Times New Roman"/>
          <w:b/>
          <w:color w:val="0F172A"/>
          <w:sz w:val="23"/>
        </w:rPr>
        <w:t xml:space="preserve">FRS-7 (Centralized Diagnostic Reports Vault): </w:t>
      </w:r>
      <w:r>
        <w:rPr>
          <w:rFonts w:ascii="Times New Roman" w:hAnsi="Times New Roman"/>
          <w:color w:val="334155"/>
          <w:sz w:val="23"/>
        </w:rPr>
        <w:t>The platform shall ingest multi-year diagnostic lab reports categorized across Metabolic, Hematology, Renal, Hepatic, and Imaging panels.</w:t>
      </w:r>
    </w:p>
    <w:p>
      <w:pPr>
        <w:pStyle w:val="ListBullet"/>
        <w:spacing w:line="300" w:lineRule="auto" w:after="80"/>
      </w:pPr>
      <w:r>
        <w:rPr>
          <w:rFonts w:ascii="Times New Roman" w:hAnsi="Times New Roman"/>
          <w:b/>
          <w:color w:val="0F172A"/>
          <w:sz w:val="23"/>
        </w:rPr>
        <w:t xml:space="preserve">FRS-8 (Quantitative Biomarker Trajectory Computing): </w:t>
      </w:r>
      <w:r>
        <w:rPr>
          <w:rFonts w:ascii="Times New Roman" w:hAnsi="Times New Roman"/>
          <w:color w:val="334155"/>
          <w:sz w:val="23"/>
        </w:rPr>
        <w:t>The system shall extract quantitative laboratory biomarkers, compare latest readings against baseline values, calculate numerical differentials, and assign trajectory flags (Improved/Down, Elevated, Stable).</w:t>
      </w:r>
    </w:p>
    <w:p>
      <w:pPr>
        <w:pStyle w:val="ListBullet"/>
        <w:spacing w:line="300" w:lineRule="auto" w:after="80"/>
      </w:pPr>
      <w:r>
        <w:rPr>
          <w:rFonts w:ascii="Times New Roman" w:hAnsi="Times New Roman"/>
          <w:b/>
          <w:color w:val="0F172A"/>
          <w:sz w:val="23"/>
        </w:rPr>
        <w:t xml:space="preserve">FRS-9 (Deterministic Clinical AI Copilot): </w:t>
      </w:r>
      <w:r>
        <w:rPr>
          <w:rFonts w:ascii="Times New Roman" w:hAnsi="Times New Roman"/>
          <w:color w:val="334155"/>
          <w:sz w:val="23"/>
        </w:rPr>
        <w:t>The system shall provide an evidence-grounded Clinical AI Copilot that ingests free-form physician notes or preset chips, queries the cross-hospital dossier, correlates active/cured diseases with lab trends, and outputs structured intelligence with 1-click note insertion.</w:t>
      </w:r>
    </w:p>
    <w:p>
      <w:pPr>
        <w:pStyle w:val="ListBullet"/>
        <w:spacing w:line="300" w:lineRule="auto" w:after="80"/>
      </w:pPr>
      <w:r>
        <w:rPr>
          <w:rFonts w:ascii="Times New Roman" w:hAnsi="Times New Roman"/>
          <w:b/>
          <w:color w:val="0F172A"/>
          <w:sz w:val="23"/>
        </w:rPr>
        <w:t xml:space="preserve">FRS-10 (Sovereign Citizen DigiLocker &amp; Identity Card): </w:t>
      </w:r>
      <w:r>
        <w:rPr>
          <w:rFonts w:ascii="Times New Roman" w:hAnsi="Times New Roman"/>
          <w:color w:val="334155"/>
          <w:sz w:val="23"/>
        </w:rPr>
        <w:t>Citizens shall have a dedicated DigiLocker displaying their official ABHA card with cryptographic QR code, multi-year medical vault, and sovereign data download capabilities.</w:t>
      </w:r>
    </w:p>
    <w:p>
      <w:pPr>
        <w:pStyle w:val="Heading2"/>
        <w:keepNext/>
        <w:spacing w:before="280" w:after="120"/>
      </w:pPr>
      <w:r>
        <w:rPr>
          <w:rFonts w:ascii="Times New Roman" w:hAnsi="Times New Roman"/>
          <w:b/>
          <w:color w:val="0284C7"/>
          <w:sz w:val="27"/>
        </w:rPr>
        <w:t>3.3 Non-Functional Requirements Specification (NFRS)</w:t>
      </w:r>
    </w:p>
    <w:p>
      <w:pPr>
        <w:pStyle w:val="ListBullet"/>
        <w:spacing w:line="300" w:lineRule="auto" w:after="80"/>
      </w:pPr>
      <w:r>
        <w:rPr>
          <w:rFonts w:ascii="Times New Roman" w:hAnsi="Times New Roman"/>
          <w:b/>
          <w:color w:val="0F172A"/>
          <w:sz w:val="23"/>
        </w:rPr>
        <w:t xml:space="preserve">NFRS-1 (Performance &amp; Latency): </w:t>
      </w:r>
      <w:r>
        <w:rPr>
          <w:rFonts w:ascii="Times New Roman" w:hAnsi="Times New Roman"/>
          <w:color w:val="334155"/>
          <w:sz w:val="23"/>
        </w:rPr>
        <w:t>API endpoint response times shall not exceed 50 milliseconds under standard load. The complete clinical AI dossier synthesis shall render within 1.5 seconds.</w:t>
      </w:r>
    </w:p>
    <w:p>
      <w:pPr>
        <w:pStyle w:val="ListBullet"/>
        <w:spacing w:line="300" w:lineRule="auto" w:after="80"/>
      </w:pPr>
      <w:r>
        <w:rPr>
          <w:rFonts w:ascii="Times New Roman" w:hAnsi="Times New Roman"/>
          <w:b/>
          <w:color w:val="0F172A"/>
          <w:sz w:val="23"/>
        </w:rPr>
        <w:t xml:space="preserve">NFRS-2 (Scalability &amp; Throughput): </w:t>
      </w:r>
      <w:r>
        <w:rPr>
          <w:rFonts w:ascii="Times New Roman" w:hAnsi="Times New Roman"/>
          <w:color w:val="334155"/>
          <w:sz w:val="23"/>
        </w:rPr>
        <w:t>The system architecture shall be stateless and horizontally scalable, capable of supporting thousands of concurrent outpatient doctor stations across participating hospital networks.</w:t>
      </w:r>
    </w:p>
    <w:p>
      <w:pPr>
        <w:pStyle w:val="ListBullet"/>
        <w:spacing w:line="300" w:lineRule="auto" w:after="80"/>
      </w:pPr>
      <w:r>
        <w:rPr>
          <w:rFonts w:ascii="Times New Roman" w:hAnsi="Times New Roman"/>
          <w:b/>
          <w:color w:val="0F172A"/>
          <w:sz w:val="23"/>
        </w:rPr>
        <w:t xml:space="preserve">NFRS-3 (Security &amp; Confidentiality): </w:t>
      </w:r>
      <w:r>
        <w:rPr>
          <w:rFonts w:ascii="Times New Roman" w:hAnsi="Times New Roman"/>
          <w:color w:val="334155"/>
          <w:sz w:val="23"/>
        </w:rPr>
        <w:t>The system shall implement Zero-Trust session isolation, preventing horizontal privilege escalation between patient accounts. All client-side sensitive tokens shall be flushed immediately on logout.</w:t>
      </w:r>
    </w:p>
    <w:p>
      <w:pPr>
        <w:pStyle w:val="ListBullet"/>
        <w:spacing w:line="300" w:lineRule="auto" w:after="80"/>
      </w:pPr>
      <w:r>
        <w:rPr>
          <w:rFonts w:ascii="Times New Roman" w:hAnsi="Times New Roman"/>
          <w:b/>
          <w:color w:val="0F172A"/>
          <w:sz w:val="23"/>
        </w:rPr>
        <w:t xml:space="preserve">NFRS-4 (Usability &amp; Accessibility): </w:t>
      </w:r>
      <w:r>
        <w:rPr>
          <w:rFonts w:ascii="Times New Roman" w:hAnsi="Times New Roman"/>
          <w:color w:val="334155"/>
          <w:sz w:val="23"/>
        </w:rPr>
        <w:t>The user interface shall adhere to high-contrast clinical design principles, ensuring accessibility, responsive fluid layouts, and zero visual clutter for busy physicians.</w:t>
      </w:r>
    </w:p>
    <w:p>
      <w:pPr>
        <w:pStyle w:val="ListBullet"/>
        <w:spacing w:line="300" w:lineRule="auto" w:after="80"/>
      </w:pPr>
      <w:r>
        <w:rPr>
          <w:rFonts w:ascii="Times New Roman" w:hAnsi="Times New Roman"/>
          <w:b/>
          <w:color w:val="0F172A"/>
          <w:sz w:val="23"/>
        </w:rPr>
        <w:t xml:space="preserve">NFRS-5 (Availability &amp; Fault Tolerance): </w:t>
      </w:r>
      <w:r>
        <w:rPr>
          <w:rFonts w:ascii="Times New Roman" w:hAnsi="Times New Roman"/>
          <w:color w:val="334155"/>
          <w:sz w:val="23"/>
        </w:rPr>
        <w:t>The backend shall maintain graceful fallback data fixtures ensuring the clinical workstation remains fully operational during intermittent external network degradation.</w:t>
      </w:r>
    </w:p>
    <w:p>
      <w:pPr>
        <w:pStyle w:val="Heading2"/>
        <w:keepNext/>
        <w:spacing w:before="280" w:after="120"/>
      </w:pPr>
      <w:r>
        <w:rPr>
          <w:rFonts w:ascii="Times New Roman" w:hAnsi="Times New Roman"/>
          <w:b/>
          <w:color w:val="0284C7"/>
          <w:sz w:val="27"/>
        </w:rPr>
        <w:t>3.4 Hardware Requirements &amp; Sizing Matrix</w:t>
      </w:r>
    </w:p>
    <w:p>
      <w:pPr>
        <w:spacing w:line="312" w:lineRule="auto" w:after="120"/>
      </w:pPr>
      <w:r>
        <w:rPr>
          <w:rFonts w:ascii="Times New Roman" w:hAnsi="Times New Roman"/>
          <w:color w:val="1E293B"/>
          <w:sz w:val="24"/>
        </w:rPr>
        <w:t>The hardware sizing specifications for production deployment are detailed below:</w:t>
      </w:r>
    </w:p>
    <w:tbl>
      <w:tblPr>
        <w:tblW w:type="auto" w:w="0"/>
        <w:jc w:val="center"/>
        <w:tblLook w:firstColumn="1" w:firstRow="1" w:lastColumn="0" w:lastRow="0" w:noHBand="0" w:noVBand="1" w:val="04A0"/>
      </w:tblPr>
      <w:tblGrid>
        <w:gridCol w:w="2250"/>
        <w:gridCol w:w="2250"/>
        <w:gridCol w:w="2250"/>
        <w:gridCol w:w="2250"/>
      </w:tblGrid>
      <w:tr>
        <w:tc>
          <w:tcPr>
            <w:tcW w:type="dxa" w:w="2160"/>
            <w:shd w:val="clear" w:color="auto" w:fill="E0F2FE"/>
            <w:tcMar>
              <w:top w:w="120" w:type="dxa"/>
              <w:bottom w:w="120" w:type="dxa"/>
              <w:left w:w="150" w:type="dxa"/>
              <w:right w:w="150" w:type="dxa"/>
            </w:tcMar>
          </w:tcPr>
          <w:p>
            <w:r>
              <w:rPr>
                <w:rFonts w:ascii="Times New Roman" w:hAnsi="Times New Roman"/>
                <w:b/>
                <w:color w:val="0F172A"/>
                <w:sz w:val="21"/>
              </w:rPr>
              <w:t>Infrastructure Tier</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Component Specification</w:t>
            </w:r>
          </w:p>
        </w:tc>
        <w:tc>
          <w:tcPr>
            <w:tcW w:type="dxa" w:w="2448"/>
            <w:shd w:val="clear" w:color="auto" w:fill="E0F2FE"/>
            <w:tcMar>
              <w:top w:w="120" w:type="dxa"/>
              <w:bottom w:w="120" w:type="dxa"/>
              <w:left w:w="150" w:type="dxa"/>
              <w:right w:w="150" w:type="dxa"/>
            </w:tcMar>
          </w:tcPr>
          <w:p>
            <w:r>
              <w:rPr>
                <w:rFonts w:ascii="Times New Roman" w:hAnsi="Times New Roman"/>
                <w:b/>
                <w:color w:val="0F172A"/>
                <w:sz w:val="21"/>
              </w:rPr>
              <w:t>Minimum Sizing Requirement</w:t>
            </w:r>
          </w:p>
        </w:tc>
        <w:tc>
          <w:tcPr>
            <w:tcW w:type="dxa" w:w="2592"/>
            <w:shd w:val="clear" w:color="auto" w:fill="E0F2FE"/>
            <w:tcMar>
              <w:top w:w="120" w:type="dxa"/>
              <w:bottom w:w="120" w:type="dxa"/>
              <w:left w:w="150" w:type="dxa"/>
              <w:right w:w="150" w:type="dxa"/>
            </w:tcMar>
          </w:tcPr>
          <w:p>
            <w:r>
              <w:rPr>
                <w:rFonts w:ascii="Times New Roman" w:hAnsi="Times New Roman"/>
                <w:b/>
                <w:color w:val="0F172A"/>
                <w:sz w:val="21"/>
              </w:rPr>
              <w:t>Recommended Enterprise Production Sizing</w:t>
            </w:r>
          </w:p>
        </w:tc>
      </w:tr>
      <w:tr>
        <w:tc>
          <w:tcPr>
            <w:tcW w:type="dxa" w:w="2160"/>
            <w:shd w:val="clear" w:color="auto" w:fill="FFFFFF"/>
            <w:tcMar>
              <w:top w:w="80" w:type="dxa"/>
              <w:bottom w:w="80" w:type="dxa"/>
              <w:left w:w="120" w:type="dxa"/>
              <w:right w:w="120" w:type="dxa"/>
            </w:tcMar>
          </w:tcPr>
          <w:p>
            <w:r>
              <w:rPr>
                <w:rFonts w:ascii="Times New Roman" w:hAnsi="Times New Roman"/>
                <w:color w:val="334155"/>
                <w:sz w:val="20"/>
              </w:rPr>
              <w:t>Application &amp; API Server</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CPU Architecture</w:t>
            </w:r>
          </w:p>
        </w:tc>
        <w:tc>
          <w:tcPr>
            <w:tcW w:type="dxa" w:w="2448"/>
            <w:shd w:val="clear" w:color="auto" w:fill="FFFFFF"/>
            <w:tcMar>
              <w:top w:w="80" w:type="dxa"/>
              <w:bottom w:w="80" w:type="dxa"/>
              <w:left w:w="120" w:type="dxa"/>
              <w:right w:w="120" w:type="dxa"/>
            </w:tcMar>
          </w:tcPr>
          <w:p>
            <w:r>
              <w:rPr>
                <w:rFonts w:ascii="Times New Roman" w:hAnsi="Times New Roman"/>
                <w:color w:val="334155"/>
                <w:sz w:val="20"/>
              </w:rPr>
              <w:t>Dual-core x86_64 / ARM64 (2.4 GHz)</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Quad-core Intel Xeon / AMD EPYC (3.2 GHz)</w:t>
            </w:r>
          </w:p>
        </w:tc>
      </w:tr>
      <w:tr>
        <w:tc>
          <w:tcPr>
            <w:tcW w:type="dxa" w:w="2160"/>
            <w:shd w:val="clear" w:color="auto" w:fill="F8FAFC"/>
            <w:tcMar>
              <w:top w:w="80" w:type="dxa"/>
              <w:bottom w:w="80" w:type="dxa"/>
              <w:left w:w="120" w:type="dxa"/>
              <w:right w:w="120" w:type="dxa"/>
            </w:tcMar>
          </w:tcPr>
          <w:p>
            <w:r>
              <w:rPr>
                <w:rFonts w:ascii="Times New Roman" w:hAnsi="Times New Roman"/>
                <w:color w:val="334155"/>
                <w:sz w:val="20"/>
              </w:rPr>
              <w:t>Application &amp; API Server</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System Memory (RAM)</w:t>
            </w:r>
          </w:p>
        </w:tc>
        <w:tc>
          <w:tcPr>
            <w:tcW w:type="dxa" w:w="2448"/>
            <w:shd w:val="clear" w:color="auto" w:fill="F8FAFC"/>
            <w:tcMar>
              <w:top w:w="80" w:type="dxa"/>
              <w:bottom w:w="80" w:type="dxa"/>
              <w:left w:w="120" w:type="dxa"/>
              <w:right w:w="120" w:type="dxa"/>
            </w:tcMar>
          </w:tcPr>
          <w:p>
            <w:r>
              <w:rPr>
                <w:rFonts w:ascii="Times New Roman" w:hAnsi="Times New Roman"/>
                <w:color w:val="334155"/>
                <w:sz w:val="20"/>
              </w:rPr>
              <w:t>4 GB DDR4</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16 GB ECC Registered DDR4</w:t>
            </w:r>
          </w:p>
        </w:tc>
      </w:tr>
      <w:tr>
        <w:tc>
          <w:tcPr>
            <w:tcW w:type="dxa" w:w="2160"/>
            <w:shd w:val="clear" w:color="auto" w:fill="FFFFFF"/>
            <w:tcMar>
              <w:top w:w="80" w:type="dxa"/>
              <w:bottom w:w="80" w:type="dxa"/>
              <w:left w:w="120" w:type="dxa"/>
              <w:right w:w="120" w:type="dxa"/>
            </w:tcMar>
          </w:tcPr>
          <w:p>
            <w:r>
              <w:rPr>
                <w:rFonts w:ascii="Times New Roman" w:hAnsi="Times New Roman"/>
                <w:color w:val="334155"/>
                <w:sz w:val="20"/>
              </w:rPr>
              <w:t>Application &amp; API Server</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Network Interface</w:t>
            </w:r>
          </w:p>
        </w:tc>
        <w:tc>
          <w:tcPr>
            <w:tcW w:type="dxa" w:w="2448"/>
            <w:shd w:val="clear" w:color="auto" w:fill="FFFFFF"/>
            <w:tcMar>
              <w:top w:w="80" w:type="dxa"/>
              <w:bottom w:w="80" w:type="dxa"/>
              <w:left w:w="120" w:type="dxa"/>
              <w:right w:w="120" w:type="dxa"/>
            </w:tcMar>
          </w:tcPr>
          <w:p>
            <w:r>
              <w:rPr>
                <w:rFonts w:ascii="Times New Roman" w:hAnsi="Times New Roman"/>
                <w:color w:val="334155"/>
                <w:sz w:val="20"/>
              </w:rPr>
              <w:t>1 Gbps Ethernet with TLS 1.3</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10 Gbps redundant uplink with load balancer</w:t>
            </w:r>
          </w:p>
        </w:tc>
      </w:tr>
      <w:tr>
        <w:tc>
          <w:tcPr>
            <w:tcW w:type="dxa" w:w="2160"/>
            <w:shd w:val="clear" w:color="auto" w:fill="F8FAFC"/>
            <w:tcMar>
              <w:top w:w="80" w:type="dxa"/>
              <w:bottom w:w="80" w:type="dxa"/>
              <w:left w:w="120" w:type="dxa"/>
              <w:right w:w="120" w:type="dxa"/>
            </w:tcMar>
          </w:tcPr>
          <w:p>
            <w:r>
              <w:rPr>
                <w:rFonts w:ascii="Times New Roman" w:hAnsi="Times New Roman"/>
                <w:color w:val="334155"/>
                <w:sz w:val="20"/>
              </w:rPr>
              <w:t>Database Storage Tier</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Solid-State Drive (SSD)</w:t>
            </w:r>
          </w:p>
        </w:tc>
        <w:tc>
          <w:tcPr>
            <w:tcW w:type="dxa" w:w="2448"/>
            <w:shd w:val="clear" w:color="auto" w:fill="F8FAFC"/>
            <w:tcMar>
              <w:top w:w="80" w:type="dxa"/>
              <w:bottom w:w="80" w:type="dxa"/>
              <w:left w:w="120" w:type="dxa"/>
              <w:right w:w="120" w:type="dxa"/>
            </w:tcMar>
          </w:tcPr>
          <w:p>
            <w:r>
              <w:rPr>
                <w:rFonts w:ascii="Times New Roman" w:hAnsi="Times New Roman"/>
                <w:color w:val="334155"/>
                <w:sz w:val="20"/>
              </w:rPr>
              <w:t>20 GB NVMe SSD Storage</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256 GB Enterprise NVMe SSD in RAID-10</w:t>
            </w:r>
          </w:p>
        </w:tc>
      </w:tr>
      <w:tr>
        <w:tc>
          <w:tcPr>
            <w:tcW w:type="dxa" w:w="2160"/>
            <w:shd w:val="clear" w:color="auto" w:fill="FFFFFF"/>
            <w:tcMar>
              <w:top w:w="80" w:type="dxa"/>
              <w:bottom w:w="80" w:type="dxa"/>
              <w:left w:w="120" w:type="dxa"/>
              <w:right w:w="120" w:type="dxa"/>
            </w:tcMar>
          </w:tcPr>
          <w:p>
            <w:r>
              <w:rPr>
                <w:rFonts w:ascii="Times New Roman" w:hAnsi="Times New Roman"/>
                <w:color w:val="334155"/>
                <w:sz w:val="20"/>
              </w:rPr>
              <w:t>Client Workstation Tier</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Client Display &amp; Browser</w:t>
            </w:r>
          </w:p>
        </w:tc>
        <w:tc>
          <w:tcPr>
            <w:tcW w:type="dxa" w:w="2448"/>
            <w:shd w:val="clear" w:color="auto" w:fill="FFFFFF"/>
            <w:tcMar>
              <w:top w:w="80" w:type="dxa"/>
              <w:bottom w:w="80" w:type="dxa"/>
              <w:left w:w="120" w:type="dxa"/>
              <w:right w:w="120" w:type="dxa"/>
            </w:tcMar>
          </w:tcPr>
          <w:p>
            <w:r>
              <w:rPr>
                <w:rFonts w:ascii="Times New Roman" w:hAnsi="Times New Roman"/>
                <w:color w:val="334155"/>
                <w:sz w:val="20"/>
              </w:rPr>
              <w:t>1024x768 resolution, HTML5 browser</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1920x1080 Full HD display, Chrome 110+, Edge 110+</w:t>
            </w:r>
          </w:p>
        </w:tc>
      </w:tr>
    </w:tbl>
    <w:p>
      <w:pPr>
        <w:spacing w:after="120"/>
      </w:pPr>
    </w:p>
    <w:p>
      <w:pPr>
        <w:pStyle w:val="Heading2"/>
        <w:keepNext/>
        <w:spacing w:before="280" w:after="120"/>
      </w:pPr>
      <w:r>
        <w:rPr>
          <w:rFonts w:ascii="Times New Roman" w:hAnsi="Times New Roman"/>
          <w:b/>
          <w:color w:val="0284C7"/>
          <w:sz w:val="27"/>
        </w:rPr>
        <w:t>3.5 Software Requirements &amp; Technology Stack Justification</w:t>
      </w:r>
    </w:p>
    <w:p>
      <w:pPr>
        <w:spacing w:line="312" w:lineRule="auto" w:after="120"/>
      </w:pPr>
      <w:r>
        <w:rPr>
          <w:rFonts w:ascii="Times New Roman" w:hAnsi="Times New Roman"/>
          <w:color w:val="1E293B"/>
          <w:sz w:val="24"/>
        </w:rPr>
        <w:t>The technology stack was selected to achieve strict type safety, sub-second rendering performance, and modular maintainability:</w:t>
        <w:br/>
        <w:t>• TypeScript 5.8+ (Full-Stack Type Safety): Eliminates entire classes of runtime errors across both client and server layers. Shared data contracts ensure that API response shapes match UI expectations with zero type drift.</w:t>
        <w:br/>
        <w:t>• Node.js &amp; Express.js (High-Throughput Backend): The non-blocking, event-driven I/O model of Node.js is ideally suited for concurrent API gateway operations handling asynchronous health records and report streaming.</w:t>
        <w:br/>
        <w:t>• React 19 &amp; Vite 8.3 (Reactive Clinical Workstation): React's declarative component architecture paired with Vite's lightning-fast ES-module bundling enables instant UI reactivity without sluggish full-page reloads.</w:t>
        <w:br/>
        <w:t>• Custom CSS Design System: Built with native CSS variables and hardware-accelerated keyframe animations, avoiding bulky CSS framework overrides while achieving rich medical-grade aesthetics.</w:t>
      </w:r>
    </w:p>
    <w:p>
      <w:pPr>
        <w:pStyle w:val="Heading2"/>
        <w:keepNext/>
        <w:spacing w:before="280" w:after="120"/>
      </w:pPr>
      <w:r>
        <w:rPr>
          <w:rFonts w:ascii="Times New Roman" w:hAnsi="Times New Roman"/>
          <w:b/>
          <w:color w:val="0284C7"/>
          <w:sz w:val="27"/>
        </w:rPr>
        <w:t>3.6 Regulatory Compliance &amp; Legal Framework (DPDPA 2023)</w:t>
      </w:r>
    </w:p>
    <w:p>
      <w:pPr>
        <w:spacing w:line="312" w:lineRule="auto" w:after="120"/>
      </w:pPr>
      <w:r>
        <w:rPr>
          <w:rFonts w:ascii="Times New Roman" w:hAnsi="Times New Roman"/>
          <w:color w:val="1E293B"/>
          <w:sz w:val="24"/>
        </w:rPr>
        <w:t>MediSutra is engineered in strict compliance with India's landmark Digital Personal Data Protection Act, 2023 (Act No. 22 of 2023). Under the DPDPA framework:</w:t>
        <w:br/>
        <w:t>• Purpose Limitation: Patient health data ingested into MediSutra is processed solely for direct clinical care and decision support.</w:t>
        <w:br/>
        <w:t>• Data Minimization: Doctors are provisioned access only to assigned patient records; hospital admins are restricted to aggregate statistics.</w:t>
        <w:br/>
        <w:t>• Citizen Data Sovereignty: Citizens possess unambiguous rights to view, verify, and export their complete health data through their DigiLocker.</w:t>
        <w:br/>
        <w:t>• Immutable Audit Logging: Every access request and clinical query generates an internal audit entry capturing timestamp, requesting provider, and clinical context.</w:t>
      </w:r>
    </w:p>
    <w:p>
      <w:r>
        <w:br w:type="page"/>
      </w:r>
    </w:p>
    <w:p>
      <w:pPr>
        <w:pStyle w:val="Heading1"/>
        <w:keepNext/>
        <w:spacing w:before="320" w:after="200"/>
      </w:pPr>
      <w:r>
        <w:rPr>
          <w:rFonts w:ascii="Times New Roman" w:hAnsi="Times New Roman"/>
          <w:b/>
          <w:color w:val="0F172A"/>
          <w:sz w:val="32"/>
        </w:rPr>
        <w:t>CHAPTER 4: SYSTEM ARCHITECTURE &amp; DESIGN</w:t>
      </w:r>
    </w:p>
    <w:p>
      <w:pPr>
        <w:pStyle w:val="Heading2"/>
        <w:keepNext/>
        <w:spacing w:before="280" w:after="120"/>
      </w:pPr>
      <w:r>
        <w:rPr>
          <w:rFonts w:ascii="Times New Roman" w:hAnsi="Times New Roman"/>
          <w:b/>
          <w:color w:val="0284C7"/>
          <w:sz w:val="27"/>
        </w:rPr>
        <w:t>4.1 Enterprise 4-Tier Architecture Overview</w:t>
      </w:r>
    </w:p>
    <w:p>
      <w:pPr>
        <w:spacing w:line="312" w:lineRule="auto" w:after="120"/>
      </w:pPr>
      <w:r>
        <w:rPr>
          <w:rFonts w:ascii="Times New Roman" w:hAnsi="Times New Roman"/>
          <w:color w:val="1E293B"/>
          <w:sz w:val="24"/>
        </w:rPr>
        <w:t>MediSutra is architected as an enterprise-grade 4-tier modular web platform, decoupling presentation, API routing, clinical business logic, and data persistence layers.</w:t>
      </w:r>
    </w:p>
    <w:p>
      <w:pPr>
        <w:spacing w:before="160" w:after="80"/>
        <w:jc w:val="center"/>
      </w:pPr>
      <w:r>
        <w:drawing>
          <wp:inline xmlns:a="http://schemas.openxmlformats.org/drawingml/2006/main" xmlns:pic="http://schemas.openxmlformats.org/drawingml/2006/picture">
            <wp:extent cx="5303520" cy="2225726"/>
            <wp:docPr id="1" name="Picture 1"/>
            <wp:cNvGraphicFramePr>
              <a:graphicFrameLocks noChangeAspect="1"/>
            </wp:cNvGraphicFramePr>
            <a:graphic>
              <a:graphicData uri="http://schemas.openxmlformats.org/drawingml/2006/picture">
                <pic:pic>
                  <pic:nvPicPr>
                    <pic:cNvPr id="0" name="01_system_architecture_4_tier.png"/>
                    <pic:cNvPicPr/>
                  </pic:nvPicPr>
                  <pic:blipFill>
                    <a:blip r:embed="rId9"/>
                    <a:stretch>
                      <a:fillRect/>
                    </a:stretch>
                  </pic:blipFill>
                  <pic:spPr>
                    <a:xfrm>
                      <a:off x="0" y="0"/>
                      <a:ext cx="5303520" cy="2225726"/>
                    </a:xfrm>
                    <a:prstGeom prst="rect"/>
                  </pic:spPr>
                </pic:pic>
              </a:graphicData>
            </a:graphic>
          </wp:inline>
        </w:drawing>
      </w:r>
    </w:p>
    <w:p>
      <w:pPr>
        <w:spacing w:after="240"/>
        <w:jc w:val="center"/>
      </w:pPr>
      <w:r>
        <w:rPr>
          <w:rFonts w:ascii="Times New Roman" w:hAnsi="Times New Roman"/>
          <w:b/>
          <w:i/>
          <w:color w:val="475569"/>
          <w:sz w:val="20"/>
        </w:rPr>
        <w:t>Figure 4.1: MediSutra Enterprise 4-Tier System Architecture Diagram</w:t>
      </w:r>
    </w:p>
    <w:p>
      <w:pPr>
        <w:spacing w:line="312" w:lineRule="auto" w:after="120"/>
      </w:pPr>
      <w:r>
        <w:rPr>
          <w:rFonts w:ascii="Times New Roman" w:hAnsi="Times New Roman"/>
          <w:color w:val="1E293B"/>
          <w:sz w:val="24"/>
        </w:rPr>
        <w:t>As illustrated in Figure 4.1, the four tiers operate with clean architectural boundaries:</w:t>
        <w:br/>
        <w:t>• Tier 1 (Presentation Layer): Built with React 19 and TypeScript, providing specialized workstation interfaces for Doctors, Sovereign Citizens, and Hospital Administrators.</w:t>
        <w:br/>
        <w:t>• Tier 2 (API Gateway &amp; Network Ingress): Express.js REST gateway enforcing Zero-Trust RBAC middleware, session validation, and standardized JSON envelopes.</w:t>
        <w:br/>
        <w:t>• Tier 3 (Clinical Intelligence &amp; Logic Engine): Houses the deterministic RAG pipeline, quantitative trajectory computing engine, and disease lifecycle state machine.</w:t>
        <w:br/>
        <w:t>• Tier 4 (Data Persistence Layer): Manages relational health models, ABHA patient registry, and immutable audit logs across federated hospital nodes.</w:t>
      </w:r>
    </w:p>
    <w:p>
      <w:pPr>
        <w:pStyle w:val="Heading2"/>
        <w:keepNext/>
        <w:spacing w:before="280" w:after="120"/>
      </w:pPr>
      <w:r>
        <w:rPr>
          <w:rFonts w:ascii="Times New Roman" w:hAnsi="Times New Roman"/>
          <w:b/>
          <w:color w:val="0284C7"/>
          <w:sz w:val="27"/>
        </w:rPr>
        <w:t>4.2 Data Flow Diagrams (DFDs)</w:t>
      </w:r>
    </w:p>
    <w:p>
      <w:pPr>
        <w:spacing w:line="312" w:lineRule="auto" w:after="120"/>
      </w:pPr>
      <w:r>
        <w:rPr>
          <w:rFonts w:ascii="Times New Roman" w:hAnsi="Times New Roman"/>
          <w:color w:val="1E293B"/>
          <w:sz w:val="24"/>
        </w:rPr>
        <w:t>Data Flow Diagrams model the movement, transformation, and storage of medical information across the system boundary.</w:t>
      </w:r>
    </w:p>
    <w:p>
      <w:pPr>
        <w:spacing w:before="160" w:after="80"/>
        <w:jc w:val="center"/>
      </w:pPr>
      <w:r>
        <w:drawing>
          <wp:inline xmlns:a="http://schemas.openxmlformats.org/drawingml/2006/main" xmlns:pic="http://schemas.openxmlformats.org/drawingml/2006/picture">
            <wp:extent cx="5303520" cy="3471152"/>
            <wp:docPr id="2" name="Picture 2"/>
            <wp:cNvGraphicFramePr>
              <a:graphicFrameLocks noChangeAspect="1"/>
            </wp:cNvGraphicFramePr>
            <a:graphic>
              <a:graphicData uri="http://schemas.openxmlformats.org/drawingml/2006/picture">
                <pic:pic>
                  <pic:nvPicPr>
                    <pic:cNvPr id="0" name="02_dfd_level_0_context.png"/>
                    <pic:cNvPicPr/>
                  </pic:nvPicPr>
                  <pic:blipFill>
                    <a:blip r:embed="rId10"/>
                    <a:stretch>
                      <a:fillRect/>
                    </a:stretch>
                  </pic:blipFill>
                  <pic:spPr>
                    <a:xfrm>
                      <a:off x="0" y="0"/>
                      <a:ext cx="5303520" cy="3471152"/>
                    </a:xfrm>
                    <a:prstGeom prst="rect"/>
                  </pic:spPr>
                </pic:pic>
              </a:graphicData>
            </a:graphic>
          </wp:inline>
        </w:drawing>
      </w:r>
    </w:p>
    <w:p>
      <w:pPr>
        <w:spacing w:after="240"/>
        <w:jc w:val="center"/>
      </w:pPr>
      <w:r>
        <w:rPr>
          <w:rFonts w:ascii="Times New Roman" w:hAnsi="Times New Roman"/>
          <w:b/>
          <w:i/>
          <w:color w:val="475569"/>
          <w:sz w:val="20"/>
        </w:rPr>
        <w:t>Figure 4.2: Data Flow Diagram Level 0: Context Level Diagram</w:t>
      </w:r>
    </w:p>
    <w:p>
      <w:pPr>
        <w:spacing w:line="312" w:lineRule="auto" w:after="120"/>
      </w:pPr>
      <w:r>
        <w:rPr>
          <w:rFonts w:ascii="Times New Roman" w:hAnsi="Times New Roman"/>
          <w:color w:val="1E293B"/>
          <w:sz w:val="24"/>
        </w:rPr>
        <w:t>Figure 4.2 illustrates the Level 0 Context Diagram. The central MediSutra platform interacts with four external entities: Attending Physicians, Sovereign Citizens, Diagnostic Pathology Labs, and Hospital Administrators / ABDM Gateway. Clinical encounter and cure data flows from doctors to the platform, which returns synthesized AI dossiers. Diagnostic panels flow from pathology labs, and citizens exchange consent requests for ABHA identity cards and digital reports.</w:t>
      </w:r>
    </w:p>
    <w:p>
      <w:pPr>
        <w:spacing w:before="160" w:after="80"/>
        <w:jc w:val="center"/>
      </w:pPr>
      <w:r>
        <w:drawing>
          <wp:inline xmlns:a="http://schemas.openxmlformats.org/drawingml/2006/main" xmlns:pic="http://schemas.openxmlformats.org/drawingml/2006/picture">
            <wp:extent cx="5303520" cy="3731489"/>
            <wp:docPr id="3" name="Picture 3"/>
            <wp:cNvGraphicFramePr>
              <a:graphicFrameLocks noChangeAspect="1"/>
            </wp:cNvGraphicFramePr>
            <a:graphic>
              <a:graphicData uri="http://schemas.openxmlformats.org/drawingml/2006/picture">
                <pic:pic>
                  <pic:nvPicPr>
                    <pic:cNvPr id="0" name="03_dfd_level_1_subsystems.png"/>
                    <pic:cNvPicPr/>
                  </pic:nvPicPr>
                  <pic:blipFill>
                    <a:blip r:embed="rId11"/>
                    <a:stretch>
                      <a:fillRect/>
                    </a:stretch>
                  </pic:blipFill>
                  <pic:spPr>
                    <a:xfrm>
                      <a:off x="0" y="0"/>
                      <a:ext cx="5303520" cy="3731489"/>
                    </a:xfrm>
                    <a:prstGeom prst="rect"/>
                  </pic:spPr>
                </pic:pic>
              </a:graphicData>
            </a:graphic>
          </wp:inline>
        </w:drawing>
      </w:r>
    </w:p>
    <w:p>
      <w:pPr>
        <w:spacing w:after="240"/>
        <w:jc w:val="center"/>
      </w:pPr>
      <w:r>
        <w:rPr>
          <w:rFonts w:ascii="Times New Roman" w:hAnsi="Times New Roman"/>
          <w:b/>
          <w:i/>
          <w:color w:val="475569"/>
          <w:sz w:val="20"/>
        </w:rPr>
        <w:t>Figure 4.3: Data Flow Diagram Level 1: Core Subsystems Data Flow</w:t>
      </w:r>
    </w:p>
    <w:p>
      <w:pPr>
        <w:spacing w:line="312" w:lineRule="auto" w:after="120"/>
      </w:pPr>
      <w:r>
        <w:rPr>
          <w:rFonts w:ascii="Times New Roman" w:hAnsi="Times New Roman"/>
          <w:color w:val="1E293B"/>
          <w:sz w:val="24"/>
        </w:rPr>
        <w:t>Figure 4.3 details the Level 1 DFD, decomposing the system into four core functional processes: (1.0) Zero-Trust Auth &amp; Role Gatekeeper, (2.0) Clinical Encounter &amp; Cure Ingestion, (3.0) Diagnostic Vault &amp; Biomarker Extractor, and (4.0) Deterministic Clinical AI Copilot &amp; Synthesis. All processes interact bidirectionally with Data Store D1 (Unified Longitudinal Patient Data Store).</w:t>
      </w:r>
    </w:p>
    <w:p>
      <w:pPr>
        <w:pStyle w:val="Heading2"/>
        <w:keepNext/>
        <w:spacing w:before="280" w:after="120"/>
      </w:pPr>
      <w:r>
        <w:rPr>
          <w:rFonts w:ascii="Times New Roman" w:hAnsi="Times New Roman"/>
          <w:b/>
          <w:color w:val="0284C7"/>
          <w:sz w:val="27"/>
        </w:rPr>
        <w:t>4.3 Federated Human Report Center (HRC) Topology</w:t>
      </w:r>
    </w:p>
    <w:p>
      <w:pPr>
        <w:spacing w:line="312" w:lineRule="auto" w:after="120"/>
      </w:pPr>
      <w:r>
        <w:rPr>
          <w:rFonts w:ascii="Times New Roman" w:hAnsi="Times New Roman"/>
          <w:color w:val="1E293B"/>
          <w:sz w:val="24"/>
        </w:rPr>
        <w:t>MediSutra implements a federated hub-and-spoke network topology connecting major healthcare institutions across India.</w:t>
      </w:r>
    </w:p>
    <w:p>
      <w:pPr>
        <w:spacing w:before="160" w:after="80"/>
        <w:jc w:val="center"/>
      </w:pPr>
      <w:r>
        <w:drawing>
          <wp:inline xmlns:a="http://schemas.openxmlformats.org/drawingml/2006/main" xmlns:pic="http://schemas.openxmlformats.org/drawingml/2006/picture">
            <wp:extent cx="5303520" cy="3731489"/>
            <wp:docPr id="4" name="Picture 4"/>
            <wp:cNvGraphicFramePr>
              <a:graphicFrameLocks noChangeAspect="1"/>
            </wp:cNvGraphicFramePr>
            <a:graphic>
              <a:graphicData uri="http://schemas.openxmlformats.org/drawingml/2006/picture">
                <pic:pic>
                  <pic:nvPicPr>
                    <pic:cNvPr id="0" name="04_hrc_network_topology.png"/>
                    <pic:cNvPicPr/>
                  </pic:nvPicPr>
                  <pic:blipFill>
                    <a:blip r:embed="rId12"/>
                    <a:stretch>
                      <a:fillRect/>
                    </a:stretch>
                  </pic:blipFill>
                  <pic:spPr>
                    <a:xfrm>
                      <a:off x="0" y="0"/>
                      <a:ext cx="5303520" cy="3731489"/>
                    </a:xfrm>
                    <a:prstGeom prst="rect"/>
                  </pic:spPr>
                </pic:pic>
              </a:graphicData>
            </a:graphic>
          </wp:inline>
        </w:drawing>
      </w:r>
    </w:p>
    <w:p>
      <w:pPr>
        <w:spacing w:after="240"/>
        <w:jc w:val="center"/>
      </w:pPr>
      <w:r>
        <w:rPr>
          <w:rFonts w:ascii="Times New Roman" w:hAnsi="Times New Roman"/>
          <w:b/>
          <w:i/>
          <w:color w:val="475569"/>
          <w:sz w:val="20"/>
        </w:rPr>
        <w:t>Figure 4.4: MediSutra Federated Human Report Center (HRC) Network Topology</w:t>
      </w:r>
    </w:p>
    <w:p>
      <w:pPr>
        <w:spacing w:line="312" w:lineRule="auto" w:after="120"/>
      </w:pPr>
      <w:r>
        <w:rPr>
          <w:rFonts w:ascii="Times New Roman" w:hAnsi="Times New Roman"/>
          <w:color w:val="1E293B"/>
          <w:sz w:val="24"/>
        </w:rPr>
        <w:t>As depicted in Figure 4.4, the Central HRC Hub maintains the unified patient registry anchored to the 14-digit ABHA identifier. Surrounding hospital nodes (Apollo Hospitals &amp; Heart Institute, Fortis Memorial, Max Super Speciality, AIIMS New Delhi) and diagnostic nodes (Dr. Lal PathLabs, Metropolis Healthcare) operate federated stations. Each node contributes encounter data and lab panels into the patient's sovereign health graph while maintaining institutional autonomy.</w:t>
      </w:r>
    </w:p>
    <w:p>
      <w:pPr>
        <w:pStyle w:val="Heading2"/>
        <w:keepNext/>
        <w:spacing w:before="280" w:after="120"/>
      </w:pPr>
      <w:r>
        <w:rPr>
          <w:rFonts w:ascii="Times New Roman" w:hAnsi="Times New Roman"/>
          <w:b/>
          <w:color w:val="0284C7"/>
          <w:sz w:val="27"/>
        </w:rPr>
        <w:t>4.4 Conceptual &amp; Logical Entity-Relationship (ER) Design</w:t>
      </w:r>
    </w:p>
    <w:p>
      <w:pPr>
        <w:spacing w:line="312" w:lineRule="auto" w:after="120"/>
      </w:pPr>
      <w:r>
        <w:rPr>
          <w:rFonts w:ascii="Times New Roman" w:hAnsi="Times New Roman"/>
          <w:color w:val="1E293B"/>
          <w:sz w:val="24"/>
        </w:rPr>
        <w:t>The relational schema is normalized to Third Normal Form (3NF) to eliminate data redundancy while ensuring high-performance joins across temporal clinical queries.</w:t>
      </w:r>
    </w:p>
    <w:p>
      <w:pPr>
        <w:spacing w:before="160" w:after="80"/>
        <w:jc w:val="center"/>
      </w:pPr>
      <w:r>
        <w:drawing>
          <wp:inline xmlns:a="http://schemas.openxmlformats.org/drawingml/2006/main" xmlns:pic="http://schemas.openxmlformats.org/drawingml/2006/picture">
            <wp:extent cx="5303520" cy="3988487"/>
            <wp:docPr id="5" name="Picture 5"/>
            <wp:cNvGraphicFramePr>
              <a:graphicFrameLocks noChangeAspect="1"/>
            </wp:cNvGraphicFramePr>
            <a:graphic>
              <a:graphicData uri="http://schemas.openxmlformats.org/drawingml/2006/picture">
                <pic:pic>
                  <pic:nvPicPr>
                    <pic:cNvPr id="0" name="10_conceptual_er_diagram.png"/>
                    <pic:cNvPicPr/>
                  </pic:nvPicPr>
                  <pic:blipFill>
                    <a:blip r:embed="rId13"/>
                    <a:stretch>
                      <a:fillRect/>
                    </a:stretch>
                  </pic:blipFill>
                  <pic:spPr>
                    <a:xfrm>
                      <a:off x="0" y="0"/>
                      <a:ext cx="5303520" cy="3988487"/>
                    </a:xfrm>
                    <a:prstGeom prst="rect"/>
                  </pic:spPr>
                </pic:pic>
              </a:graphicData>
            </a:graphic>
          </wp:inline>
        </w:drawing>
      </w:r>
    </w:p>
    <w:p>
      <w:pPr>
        <w:spacing w:after="240"/>
        <w:jc w:val="center"/>
      </w:pPr>
      <w:r>
        <w:rPr>
          <w:rFonts w:ascii="Times New Roman" w:hAnsi="Times New Roman"/>
          <w:b/>
          <w:i/>
          <w:color w:val="475569"/>
          <w:sz w:val="20"/>
        </w:rPr>
        <w:t>Figure 4.5: Entity-Relationship (ER) Conceptual Schema Model</w:t>
      </w:r>
    </w:p>
    <w:p>
      <w:pPr>
        <w:pStyle w:val="Heading2"/>
        <w:keepNext/>
        <w:spacing w:before="280" w:after="120"/>
      </w:pPr>
      <w:r>
        <w:rPr>
          <w:rFonts w:ascii="Times New Roman" w:hAnsi="Times New Roman"/>
          <w:b/>
          <w:color w:val="0284C7"/>
          <w:sz w:val="27"/>
        </w:rPr>
        <w:t>4.5 Detailed Relational Schema &amp; Data Dictionary</w:t>
      </w:r>
    </w:p>
    <w:p>
      <w:pPr>
        <w:spacing w:line="312" w:lineRule="auto" w:after="120"/>
      </w:pPr>
      <w:r>
        <w:rPr>
          <w:rFonts w:ascii="Times New Roman" w:hAnsi="Times New Roman"/>
          <w:color w:val="1E293B"/>
          <w:sz w:val="24"/>
        </w:rPr>
        <w:t>The comprehensive relational schema specifications for core clinical entities are tabulated below:</w:t>
      </w:r>
    </w:p>
    <w:p>
      <w:pPr>
        <w:spacing w:line="312" w:lineRule="auto" w:after="120"/>
      </w:pPr>
      <w:r>
        <w:rPr>
          <w:rFonts w:ascii="Times New Roman" w:hAnsi="Times New Roman"/>
          <w:b/>
          <w:color w:val="0F172A"/>
          <w:sz w:val="24"/>
        </w:rPr>
        <w:t xml:space="preserve">Entity Specification: </w:t>
      </w:r>
      <w:r>
        <w:rPr>
          <w:rFonts w:ascii="Times New Roman" w:hAnsi="Times New Roman"/>
          <w:color w:val="1E293B"/>
          <w:sz w:val="24"/>
        </w:rPr>
        <w:t>Table 4.1: Patient Entity Data Dictionary (Table: patients)</w:t>
      </w:r>
    </w:p>
    <w:tbl>
      <w:tblPr>
        <w:tblW w:type="auto" w:w="0"/>
        <w:jc w:val="center"/>
        <w:tblLook w:firstColumn="1" w:firstRow="1" w:lastColumn="0" w:lastRow="0" w:noHBand="0" w:noVBand="1" w:val="04A0"/>
      </w:tblPr>
      <w:tblGrid>
        <w:gridCol w:w="2250"/>
        <w:gridCol w:w="2250"/>
        <w:gridCol w:w="2250"/>
        <w:gridCol w:w="225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Field Name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Data Type</w:t>
            </w:r>
          </w:p>
        </w:tc>
        <w:tc>
          <w:tcPr>
            <w:tcW w:type="dxa" w:w="2304"/>
            <w:shd w:val="clear" w:color="auto" w:fill="E0F2FE"/>
            <w:tcMar>
              <w:top w:w="120" w:type="dxa"/>
              <w:bottom w:w="120" w:type="dxa"/>
              <w:left w:w="150" w:type="dxa"/>
              <w:right w:w="150" w:type="dxa"/>
            </w:tcMar>
          </w:tcPr>
          <w:p>
            <w:r>
              <w:rPr>
                <w:rFonts w:ascii="Times New Roman" w:hAnsi="Times New Roman"/>
                <w:b/>
                <w:color w:val="0F172A"/>
                <w:sz w:val="21"/>
              </w:rPr>
              <w:t>Constraints</w:t>
            </w:r>
          </w:p>
        </w:tc>
        <w:tc>
          <w:tcPr>
            <w:tcW w:type="dxa" w:w="3168"/>
            <w:shd w:val="clear" w:color="auto" w:fill="E0F2FE"/>
            <w:tcMar>
              <w:top w:w="120" w:type="dxa"/>
              <w:bottom w:w="120" w:type="dxa"/>
              <w:left w:w="150" w:type="dxa"/>
              <w:right w:w="150" w:type="dxa"/>
            </w:tcMar>
          </w:tcPr>
          <w:p>
            <w:r>
              <w:rPr>
                <w:rFonts w:ascii="Times New Roman" w:hAnsi="Times New Roman"/>
                <w:b/>
                <w:color w:val="0F172A"/>
                <w:sz w:val="21"/>
              </w:rPr>
              <w:t>Description &amp; Clinical Significance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healthId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PRIMARY KEY, 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Unique sovereign platform patient identifier (e.g., MED-00010001)</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abhaNumber</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VARCHAR(17)</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UNIQUE, 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Standardized 14-digit ABDM citizen identifier (e.g., 91-4521-7890-1234)</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fullName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VARCHAR(128)</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Citizen complete legal name</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dob</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DATE</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Date of birth for age calculation and pediatric/geriatric dosage filtering</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gender</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Biological gender (Male, Female, Other) for reference range calibration</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bloodGroup</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VARCHAR(8)</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ABO blood group with Rh factor (e.g., B+, O-, A+)</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primaryFacility</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VARCHAR(64)</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Primary registering tertiary healthcare institution</w:t>
            </w:r>
          </w:p>
        </w:tc>
      </w:tr>
    </w:tbl>
    <w:p>
      <w:pPr>
        <w:spacing w:after="120"/>
      </w:pPr>
    </w:p>
    <w:p>
      <w:pPr>
        <w:spacing w:line="312" w:lineRule="auto" w:after="120"/>
      </w:pPr>
      <w:r>
        <w:rPr>
          <w:rFonts w:ascii="Times New Roman" w:hAnsi="Times New Roman"/>
          <w:b/>
          <w:color w:val="0F172A"/>
          <w:sz w:val="24"/>
        </w:rPr>
        <w:t xml:space="preserve">Entity Specification: </w:t>
      </w:r>
      <w:r>
        <w:rPr>
          <w:rFonts w:ascii="Times New Roman" w:hAnsi="Times New Roman"/>
          <w:color w:val="1E293B"/>
          <w:sz w:val="24"/>
        </w:rPr>
        <w:t>Table 4.2: Clinical Encounter Entity Data Dictionary (Table: clinical_encounters)</w:t>
      </w:r>
    </w:p>
    <w:tbl>
      <w:tblPr>
        <w:tblW w:type="auto" w:w="0"/>
        <w:jc w:val="center"/>
        <w:tblLook w:firstColumn="1" w:firstRow="1" w:lastColumn="0" w:lastRow="0" w:noHBand="0" w:noVBand="1" w:val="04A0"/>
      </w:tblPr>
      <w:tblGrid>
        <w:gridCol w:w="2250"/>
        <w:gridCol w:w="2250"/>
        <w:gridCol w:w="2250"/>
        <w:gridCol w:w="225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Field Name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Data Type</w:t>
            </w:r>
          </w:p>
        </w:tc>
        <w:tc>
          <w:tcPr>
            <w:tcW w:type="dxa" w:w="2304"/>
            <w:shd w:val="clear" w:color="auto" w:fill="E0F2FE"/>
            <w:tcMar>
              <w:top w:w="120" w:type="dxa"/>
              <w:bottom w:w="120" w:type="dxa"/>
              <w:left w:w="150" w:type="dxa"/>
              <w:right w:w="150" w:type="dxa"/>
            </w:tcMar>
          </w:tcPr>
          <w:p>
            <w:r>
              <w:rPr>
                <w:rFonts w:ascii="Times New Roman" w:hAnsi="Times New Roman"/>
                <w:b/>
                <w:color w:val="0F172A"/>
                <w:sz w:val="21"/>
              </w:rPr>
              <w:t>Constraints</w:t>
            </w:r>
          </w:p>
        </w:tc>
        <w:tc>
          <w:tcPr>
            <w:tcW w:type="dxa" w:w="3168"/>
            <w:shd w:val="clear" w:color="auto" w:fill="E0F2FE"/>
            <w:tcMar>
              <w:top w:w="120" w:type="dxa"/>
              <w:bottom w:w="120" w:type="dxa"/>
              <w:left w:w="150" w:type="dxa"/>
              <w:right w:w="150" w:type="dxa"/>
            </w:tcMar>
          </w:tcPr>
          <w:p>
            <w:r>
              <w:rPr>
                <w:rFonts w:ascii="Times New Roman" w:hAnsi="Times New Roman"/>
                <w:b/>
                <w:color w:val="0F172A"/>
                <w:sz w:val="21"/>
              </w:rPr>
              <w:t>Description &amp; Clinical Significance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PRIMARY KEY, UUID</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Unique encounter record identifier</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patientId</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FOREIGN KEY (patients.healthId)</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Reference to patient sovereign record</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hospitalId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FOREIGN KEY (hospitals.id)</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Facility where consultation occurred</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doctorId</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FOREIGN KEY (doctors.id)</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Licensed attending physician who conducted examination</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date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DATE</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Calendar date of consultation</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diagnosis</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VARCHAR(256)</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Clinical diagnosis description</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icd10Code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WHO ICD-10 diagnostic alphanumeric code (e.g., E11.9, I10)</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severity</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Clinical severity grading (MILD, MODERATE, SEVERE)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status</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VARCHAR(24)</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Encounter lifecycle status (ACTIVE, RESOLVED, FOLLOW_UP)</w:t>
            </w:r>
          </w:p>
        </w:tc>
      </w:tr>
    </w:tbl>
    <w:p>
      <w:pPr>
        <w:spacing w:after="120"/>
      </w:pPr>
    </w:p>
    <w:p>
      <w:pPr>
        <w:spacing w:line="312" w:lineRule="auto" w:after="120"/>
      </w:pPr>
      <w:r>
        <w:rPr>
          <w:rFonts w:ascii="Times New Roman" w:hAnsi="Times New Roman"/>
          <w:b/>
          <w:color w:val="0F172A"/>
          <w:sz w:val="24"/>
        </w:rPr>
        <w:t xml:space="preserve">Entity Specification: </w:t>
      </w:r>
      <w:r>
        <w:rPr>
          <w:rFonts w:ascii="Times New Roman" w:hAnsi="Times New Roman"/>
          <w:color w:val="1E293B"/>
          <w:sz w:val="24"/>
        </w:rPr>
        <w:t>Table 4.3: Disease Condition Entity Data Dictionary (Table: disease_conditions)</w:t>
      </w:r>
    </w:p>
    <w:tbl>
      <w:tblPr>
        <w:tblW w:type="auto" w:w="0"/>
        <w:jc w:val="center"/>
        <w:tblLook w:firstColumn="1" w:firstRow="1" w:lastColumn="0" w:lastRow="0" w:noHBand="0" w:noVBand="1" w:val="04A0"/>
      </w:tblPr>
      <w:tblGrid>
        <w:gridCol w:w="2250"/>
        <w:gridCol w:w="2250"/>
        <w:gridCol w:w="2250"/>
        <w:gridCol w:w="225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Field Name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Data Type</w:t>
            </w:r>
          </w:p>
        </w:tc>
        <w:tc>
          <w:tcPr>
            <w:tcW w:type="dxa" w:w="2304"/>
            <w:shd w:val="clear" w:color="auto" w:fill="E0F2FE"/>
            <w:tcMar>
              <w:top w:w="120" w:type="dxa"/>
              <w:bottom w:w="120" w:type="dxa"/>
              <w:left w:w="150" w:type="dxa"/>
              <w:right w:w="150" w:type="dxa"/>
            </w:tcMar>
          </w:tcPr>
          <w:p>
            <w:r>
              <w:rPr>
                <w:rFonts w:ascii="Times New Roman" w:hAnsi="Times New Roman"/>
                <w:b/>
                <w:color w:val="0F172A"/>
                <w:sz w:val="21"/>
              </w:rPr>
              <w:t>Constraints</w:t>
            </w:r>
          </w:p>
        </w:tc>
        <w:tc>
          <w:tcPr>
            <w:tcW w:type="dxa" w:w="3168"/>
            <w:shd w:val="clear" w:color="auto" w:fill="E0F2FE"/>
            <w:tcMar>
              <w:top w:w="120" w:type="dxa"/>
              <w:bottom w:w="120" w:type="dxa"/>
              <w:left w:w="150" w:type="dxa"/>
              <w:right w:w="150" w:type="dxa"/>
            </w:tcMar>
          </w:tcPr>
          <w:p>
            <w:r>
              <w:rPr>
                <w:rFonts w:ascii="Times New Roman" w:hAnsi="Times New Roman"/>
                <w:b/>
                <w:color w:val="0F172A"/>
                <w:sz w:val="21"/>
              </w:rPr>
              <w:t>Description &amp; Clinical Significance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PRIMARY KEY, UUID</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Unique lifetime condition identifier</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patientId</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FOREIGN KEY (patients.healthId)</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Reference to patient record</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conditionName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VARCHAR(128)</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Standardized name of clinical illness</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icd10Code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ICD-10 classification code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currentStatus</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Lifecycle state: ACTIVE or RESOLVED</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diagnosedDate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DATE</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Initial clinical diagnosis calendar date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curedDate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DATE</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NULLABLE</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Date of certified clinical resolution</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curedEvidence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TEXT</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NULLABLE</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Doctor follow-up notes and diagnostic proof certifying cure</w:t>
            </w:r>
          </w:p>
        </w:tc>
      </w:tr>
    </w:tbl>
    <w:p>
      <w:pPr>
        <w:spacing w:after="120"/>
      </w:pPr>
    </w:p>
    <w:p>
      <w:pPr>
        <w:spacing w:line="312" w:lineRule="auto" w:after="120"/>
      </w:pPr>
      <w:r>
        <w:rPr>
          <w:rFonts w:ascii="Times New Roman" w:hAnsi="Times New Roman"/>
          <w:b/>
          <w:color w:val="0F172A"/>
          <w:sz w:val="24"/>
        </w:rPr>
        <w:t xml:space="preserve">Entity Specification: </w:t>
      </w:r>
      <w:r>
        <w:rPr>
          <w:rFonts w:ascii="Times New Roman" w:hAnsi="Times New Roman"/>
          <w:color w:val="1E293B"/>
          <w:sz w:val="24"/>
        </w:rPr>
        <w:t>Table 4.4: Diagnostic Report Entity Data Dictionary (Table: diagnostic_reports)</w:t>
      </w:r>
    </w:p>
    <w:tbl>
      <w:tblPr>
        <w:tblW w:type="auto" w:w="0"/>
        <w:jc w:val="center"/>
        <w:tblLook w:firstColumn="1" w:firstRow="1" w:lastColumn="0" w:lastRow="0" w:noHBand="0" w:noVBand="1" w:val="04A0"/>
      </w:tblPr>
      <w:tblGrid>
        <w:gridCol w:w="2250"/>
        <w:gridCol w:w="2250"/>
        <w:gridCol w:w="2250"/>
        <w:gridCol w:w="225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Field Name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Data Type</w:t>
            </w:r>
          </w:p>
        </w:tc>
        <w:tc>
          <w:tcPr>
            <w:tcW w:type="dxa" w:w="2304"/>
            <w:shd w:val="clear" w:color="auto" w:fill="E0F2FE"/>
            <w:tcMar>
              <w:top w:w="120" w:type="dxa"/>
              <w:bottom w:w="120" w:type="dxa"/>
              <w:left w:w="150" w:type="dxa"/>
              <w:right w:w="150" w:type="dxa"/>
            </w:tcMar>
          </w:tcPr>
          <w:p>
            <w:r>
              <w:rPr>
                <w:rFonts w:ascii="Times New Roman" w:hAnsi="Times New Roman"/>
                <w:b/>
                <w:color w:val="0F172A"/>
                <w:sz w:val="21"/>
              </w:rPr>
              <w:t>Constraints</w:t>
            </w:r>
          </w:p>
        </w:tc>
        <w:tc>
          <w:tcPr>
            <w:tcW w:type="dxa" w:w="3168"/>
            <w:shd w:val="clear" w:color="auto" w:fill="E0F2FE"/>
            <w:tcMar>
              <w:top w:w="120" w:type="dxa"/>
              <w:bottom w:w="120" w:type="dxa"/>
              <w:left w:w="150" w:type="dxa"/>
              <w:right w:w="150" w:type="dxa"/>
            </w:tcMar>
          </w:tcPr>
          <w:p>
            <w:r>
              <w:rPr>
                <w:rFonts w:ascii="Times New Roman" w:hAnsi="Times New Roman"/>
                <w:b/>
                <w:color w:val="0F172A"/>
                <w:sz w:val="21"/>
              </w:rPr>
              <w:t>Description &amp; Clinical Significance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PRIMARY KEY, UUID</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Unique diagnostic report identifier</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patientId</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FOREIGN KEY (patients.healthId)</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Reference to patient record</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facilityId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Laboratory or hospital that issued report</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testName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VARCHAR(128)</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Name of diagnostic panel (e.g., Comprehensive Metabolic Panel)</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category</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Category: Metabolic, Blood, Renal, Hepatic, Imaging</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reportDate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DATE</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Date of specimen collection and analysis</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documentUrl</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VARCHAR(256)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Secure URL or storage path to original report document</w:t>
            </w:r>
          </w:p>
        </w:tc>
      </w:tr>
    </w:tbl>
    <w:p>
      <w:pPr>
        <w:spacing w:after="120"/>
      </w:pPr>
    </w:p>
    <w:p>
      <w:pPr>
        <w:spacing w:line="312" w:lineRule="auto" w:after="120"/>
      </w:pPr>
      <w:r>
        <w:rPr>
          <w:rFonts w:ascii="Times New Roman" w:hAnsi="Times New Roman"/>
          <w:b/>
          <w:color w:val="0F172A"/>
          <w:sz w:val="24"/>
        </w:rPr>
        <w:t xml:space="preserve">Entity Specification: </w:t>
      </w:r>
      <w:r>
        <w:rPr>
          <w:rFonts w:ascii="Times New Roman" w:hAnsi="Times New Roman"/>
          <w:color w:val="1E293B"/>
          <w:sz w:val="24"/>
        </w:rPr>
        <w:t>Table 4.5: Lab Biomarker Entity Data Dictionary (Table: lab_biomarkers)</w:t>
      </w:r>
    </w:p>
    <w:tbl>
      <w:tblPr>
        <w:tblW w:type="auto" w:w="0"/>
        <w:jc w:val="center"/>
        <w:tblLook w:firstColumn="1" w:firstRow="1" w:lastColumn="0" w:lastRow="0" w:noHBand="0" w:noVBand="1" w:val="04A0"/>
      </w:tblPr>
      <w:tblGrid>
        <w:gridCol w:w="2250"/>
        <w:gridCol w:w="2250"/>
        <w:gridCol w:w="2250"/>
        <w:gridCol w:w="225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Field Name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Data Type</w:t>
            </w:r>
          </w:p>
        </w:tc>
        <w:tc>
          <w:tcPr>
            <w:tcW w:type="dxa" w:w="2304"/>
            <w:shd w:val="clear" w:color="auto" w:fill="E0F2FE"/>
            <w:tcMar>
              <w:top w:w="120" w:type="dxa"/>
              <w:bottom w:w="120" w:type="dxa"/>
              <w:left w:w="150" w:type="dxa"/>
              <w:right w:w="150" w:type="dxa"/>
            </w:tcMar>
          </w:tcPr>
          <w:p>
            <w:r>
              <w:rPr>
                <w:rFonts w:ascii="Times New Roman" w:hAnsi="Times New Roman"/>
                <w:b/>
                <w:color w:val="0F172A"/>
                <w:sz w:val="21"/>
              </w:rPr>
              <w:t>Constraints</w:t>
            </w:r>
          </w:p>
        </w:tc>
        <w:tc>
          <w:tcPr>
            <w:tcW w:type="dxa" w:w="3168"/>
            <w:shd w:val="clear" w:color="auto" w:fill="E0F2FE"/>
            <w:tcMar>
              <w:top w:w="120" w:type="dxa"/>
              <w:bottom w:w="120" w:type="dxa"/>
              <w:left w:w="150" w:type="dxa"/>
              <w:right w:w="150" w:type="dxa"/>
            </w:tcMar>
          </w:tcPr>
          <w:p>
            <w:r>
              <w:rPr>
                <w:rFonts w:ascii="Times New Roman" w:hAnsi="Times New Roman"/>
                <w:b/>
                <w:color w:val="0F172A"/>
                <w:sz w:val="21"/>
              </w:rPr>
              <w:t>Description &amp; Clinical Significance</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id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VARCHAR(36)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PRIMARY KEY, UUID</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Unique biomarker observation identifier</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reportId</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VARCHAR(36)</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FOREIGN KEY (diagnostic_reports.id)</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Reference to parent diagnostic report</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parameterName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VARCHAR(64)</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Name of analyte (e.g., HbA1c, Fasting Glucose, Vitamin D)</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latestValue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NUMERIC(8,2)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Most recent quantitative laboratory reading</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latestUnit</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Measurement unit (e.g., %, mg/dL, ng/mL)</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referenceRange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VARCHAR(32)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Standard physiological reference interval (e.g., 4.0 - 5.6)</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latestFlag</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Evaluation flag: NORMAL, HIGH, LOW, CRITICAL</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baselineValue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NUMERIC(8,2)</w:t>
            </w:r>
          </w:p>
        </w:tc>
        <w:tc>
          <w:tcPr>
            <w:tcW w:type="dxa" w:w="2304"/>
            <w:shd w:val="clear" w:color="auto" w:fill="F8FAFC"/>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8FAFC"/>
            <w:tcMar>
              <w:top w:w="80" w:type="dxa"/>
              <w:bottom w:w="80" w:type="dxa"/>
              <w:left w:w="120" w:type="dxa"/>
              <w:right w:w="120" w:type="dxa"/>
            </w:tcMar>
          </w:tcPr>
          <w:p>
            <w:r>
              <w:rPr>
                <w:rFonts w:ascii="Times New Roman" w:hAnsi="Times New Roman"/>
                <w:color w:val="334155"/>
                <w:sz w:val="20"/>
              </w:rPr>
              <w:t>Historical baseline reading from prior calendar year</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trend</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VARCHAR(16)</w:t>
            </w:r>
          </w:p>
        </w:tc>
        <w:tc>
          <w:tcPr>
            <w:tcW w:type="dxa" w:w="2304"/>
            <w:shd w:val="clear" w:color="auto" w:fill="FFFFFF"/>
            <w:tcMar>
              <w:top w:w="80" w:type="dxa"/>
              <w:bottom w:w="80" w:type="dxa"/>
              <w:left w:w="120" w:type="dxa"/>
              <w:right w:w="120" w:type="dxa"/>
            </w:tcMar>
          </w:tcPr>
          <w:p>
            <w:r>
              <w:rPr>
                <w:rFonts w:ascii="Times New Roman" w:hAnsi="Times New Roman"/>
                <w:color w:val="334155"/>
                <w:sz w:val="20"/>
              </w:rPr>
              <w:t>NOT NULL</w:t>
            </w:r>
          </w:p>
        </w:tc>
        <w:tc>
          <w:tcPr>
            <w:tcW w:type="dxa" w:w="3168"/>
            <w:shd w:val="clear" w:color="auto" w:fill="FFFFFF"/>
            <w:tcMar>
              <w:top w:w="80" w:type="dxa"/>
              <w:bottom w:w="80" w:type="dxa"/>
              <w:left w:w="120" w:type="dxa"/>
              <w:right w:w="120" w:type="dxa"/>
            </w:tcMar>
          </w:tcPr>
          <w:p>
            <w:r>
              <w:rPr>
                <w:rFonts w:ascii="Times New Roman" w:hAnsi="Times New Roman"/>
                <w:color w:val="334155"/>
                <w:sz w:val="20"/>
              </w:rPr>
              <w:t>Calculated directionality: Down (Improved), Up (Elevated), Stable</w:t>
            </w:r>
          </w:p>
        </w:tc>
      </w:tr>
    </w:tbl>
    <w:p>
      <w:pPr>
        <w:spacing w:after="120"/>
      </w:pPr>
    </w:p>
    <w:p>
      <w:pPr>
        <w:pStyle w:val="Heading2"/>
        <w:keepNext/>
        <w:spacing w:before="280" w:after="120"/>
      </w:pPr>
      <w:r>
        <w:rPr>
          <w:rFonts w:ascii="Times New Roman" w:hAnsi="Times New Roman"/>
          <w:b/>
          <w:color w:val="0284C7"/>
          <w:sz w:val="27"/>
        </w:rPr>
        <w:t>4.6 UML Sequence Diagrams: Consultation &amp; AI Workflow</w:t>
      </w:r>
    </w:p>
    <w:p>
      <w:pPr>
        <w:spacing w:line="312" w:lineRule="auto" w:after="120"/>
      </w:pPr>
      <w:r>
        <w:rPr>
          <w:rFonts w:ascii="Times New Roman" w:hAnsi="Times New Roman"/>
          <w:color w:val="1E293B"/>
          <w:sz w:val="24"/>
        </w:rPr>
        <w:t>Figure 4.6 details the sequence of asynchronous interactions during a live physician consultation.</w:t>
      </w:r>
    </w:p>
    <w:p>
      <w:pPr>
        <w:spacing w:before="160" w:after="80"/>
        <w:jc w:val="center"/>
      </w:pPr>
      <w:r>
        <w:drawing>
          <wp:inline xmlns:a="http://schemas.openxmlformats.org/drawingml/2006/main" xmlns:pic="http://schemas.openxmlformats.org/drawingml/2006/picture">
            <wp:extent cx="5303520" cy="3731489"/>
            <wp:docPr id="6" name="Picture 6"/>
            <wp:cNvGraphicFramePr>
              <a:graphicFrameLocks noChangeAspect="1"/>
            </wp:cNvGraphicFramePr>
            <a:graphic>
              <a:graphicData uri="http://schemas.openxmlformats.org/drawingml/2006/picture">
                <pic:pic>
                  <pic:nvPicPr>
                    <pic:cNvPr id="0" name="09_uml_consultation_sequence.png"/>
                    <pic:cNvPicPr/>
                  </pic:nvPicPr>
                  <pic:blipFill>
                    <a:blip r:embed="rId14"/>
                    <a:stretch>
                      <a:fillRect/>
                    </a:stretch>
                  </pic:blipFill>
                  <pic:spPr>
                    <a:xfrm>
                      <a:off x="0" y="0"/>
                      <a:ext cx="5303520" cy="3731489"/>
                    </a:xfrm>
                    <a:prstGeom prst="rect"/>
                  </pic:spPr>
                </pic:pic>
              </a:graphicData>
            </a:graphic>
          </wp:inline>
        </w:drawing>
      </w:r>
    </w:p>
    <w:p>
      <w:pPr>
        <w:spacing w:after="240"/>
        <w:jc w:val="center"/>
      </w:pPr>
      <w:r>
        <w:rPr>
          <w:rFonts w:ascii="Times New Roman" w:hAnsi="Times New Roman"/>
          <w:b/>
          <w:i/>
          <w:color w:val="475569"/>
          <w:sz w:val="20"/>
        </w:rPr>
        <w:t>Figure 4.6: UML Sequence Diagram: Clinical Consultation &amp; AI Synthesis Flow</w:t>
      </w:r>
    </w:p>
    <w:p>
      <w:pPr>
        <w:spacing w:line="312" w:lineRule="auto" w:after="120"/>
      </w:pPr>
      <w:r>
        <w:rPr>
          <w:rFonts w:ascii="Times New Roman" w:hAnsi="Times New Roman"/>
          <w:color w:val="1E293B"/>
          <w:sz w:val="24"/>
        </w:rPr>
        <w:t>The interaction begins when the physician selects a patient from their assigned roster in the React UI. The UI issues an authenticated GET request to the Express Gateway, which queries the unified data store and returns the patient's multi-hospital dossier. When the physician selects an AI preset (e.g., 'High Fasting Sugar &amp; Tingling in Toes') or types freeform notes, a POST request is dispatched to `/api/v1/ai/doctor-analysis`. The AI engine retrieves the dossier, calculates biomarker trajectories, correlates active/cured diseases, and returns a structured synthesis report with 1-click note insertion.</w:t>
      </w:r>
    </w:p>
    <w:p>
      <w:pPr>
        <w:pStyle w:val="Heading2"/>
        <w:keepNext/>
        <w:spacing w:before="280" w:after="120"/>
      </w:pPr>
      <w:r>
        <w:rPr>
          <w:rFonts w:ascii="Times New Roman" w:hAnsi="Times New Roman"/>
          <w:b/>
          <w:color w:val="0284C7"/>
          <w:sz w:val="27"/>
        </w:rPr>
        <w:t>4.7 Disease Lifecycle State Transition Machine</w:t>
      </w:r>
    </w:p>
    <w:p>
      <w:pPr>
        <w:spacing w:line="312" w:lineRule="auto" w:after="120"/>
      </w:pPr>
      <w:r>
        <w:rPr>
          <w:rFonts w:ascii="Times New Roman" w:hAnsi="Times New Roman"/>
          <w:color w:val="1E293B"/>
          <w:sz w:val="24"/>
        </w:rPr>
        <w:t>To prevent the conflation of acute historical illnesses with active ongoing diseases, MediSutra implements a deterministic finite state machine.</w:t>
      </w:r>
    </w:p>
    <w:p>
      <w:pPr>
        <w:spacing w:before="160" w:after="80"/>
        <w:jc w:val="center"/>
      </w:pPr>
      <w:r>
        <w:drawing>
          <wp:inline xmlns:a="http://schemas.openxmlformats.org/drawingml/2006/main" xmlns:pic="http://schemas.openxmlformats.org/drawingml/2006/picture">
            <wp:extent cx="5303520" cy="2957154"/>
            <wp:docPr id="7" name="Picture 7"/>
            <wp:cNvGraphicFramePr>
              <a:graphicFrameLocks noChangeAspect="1"/>
            </wp:cNvGraphicFramePr>
            <a:graphic>
              <a:graphicData uri="http://schemas.openxmlformats.org/drawingml/2006/picture">
                <pic:pic>
                  <pic:nvPicPr>
                    <pic:cNvPr id="0" name="05_disease_lifecycle_state_machine.png"/>
                    <pic:cNvPicPr/>
                  </pic:nvPicPr>
                  <pic:blipFill>
                    <a:blip r:embed="rId15"/>
                    <a:stretch>
                      <a:fillRect/>
                    </a:stretch>
                  </pic:blipFill>
                  <pic:spPr>
                    <a:xfrm>
                      <a:off x="0" y="0"/>
                      <a:ext cx="5303520" cy="2957154"/>
                    </a:xfrm>
                    <a:prstGeom prst="rect"/>
                  </pic:spPr>
                </pic:pic>
              </a:graphicData>
            </a:graphic>
          </wp:inline>
        </w:drawing>
      </w:r>
    </w:p>
    <w:p>
      <w:pPr>
        <w:spacing w:after="240"/>
        <w:jc w:val="center"/>
      </w:pPr>
      <w:r>
        <w:rPr>
          <w:rFonts w:ascii="Times New Roman" w:hAnsi="Times New Roman"/>
          <w:b/>
          <w:i/>
          <w:color w:val="475569"/>
          <w:sz w:val="20"/>
        </w:rPr>
        <w:t>Figure 4.7: Disease Lifecycle State Transition Machine (Active vs. Cured)</w:t>
      </w:r>
    </w:p>
    <w:p>
      <w:pPr>
        <w:spacing w:line="312" w:lineRule="auto" w:after="120"/>
      </w:pPr>
      <w:r>
        <w:rPr>
          <w:rFonts w:ascii="Times New Roman" w:hAnsi="Times New Roman"/>
          <w:color w:val="1E293B"/>
          <w:sz w:val="24"/>
        </w:rPr>
        <w:t>As modeled in Figure 4.7, every condition enters as SUSPECTED or ACTIVE/UNDER_TREATMENT upon clinical diagnosis and ICD-10 assignment. When follow-up examination confirms disease resolution, the clinician submits confirmatory evidence, triggering a transition to RESOLVED/CURED. Resolved conditions are archived into longitudinal history, but remain visible to provide context during future consultations. If a relapse occurs, a transition arc re-activates the condition.</w:t>
      </w:r>
    </w:p>
    <w:p>
      <w:pPr>
        <w:pStyle w:val="Heading2"/>
        <w:keepNext/>
        <w:spacing w:before="280" w:after="120"/>
      </w:pPr>
      <w:r>
        <w:rPr>
          <w:rFonts w:ascii="Times New Roman" w:hAnsi="Times New Roman"/>
          <w:b/>
          <w:color w:val="0284C7"/>
          <w:sz w:val="27"/>
        </w:rPr>
        <w:t>4.8 Zero-Trust Role-Based Access Control Architecture</w:t>
      </w:r>
    </w:p>
    <w:p>
      <w:pPr>
        <w:spacing w:line="312" w:lineRule="auto" w:after="120"/>
      </w:pPr>
      <w:r>
        <w:rPr>
          <w:rFonts w:ascii="Times New Roman" w:hAnsi="Times New Roman"/>
          <w:color w:val="1E293B"/>
          <w:sz w:val="24"/>
        </w:rPr>
        <w:t>MediSutra enforces Zero-Trust principles where every request is authenticated, verified, and authorized against a strict role privilege matrix.</w:t>
      </w:r>
    </w:p>
    <w:p>
      <w:pPr>
        <w:spacing w:before="160" w:after="80"/>
        <w:jc w:val="center"/>
      </w:pPr>
      <w:r>
        <w:drawing>
          <wp:inline xmlns:a="http://schemas.openxmlformats.org/drawingml/2006/main" xmlns:pic="http://schemas.openxmlformats.org/drawingml/2006/picture">
            <wp:extent cx="5303520" cy="2936823"/>
            <wp:docPr id="8" name="Picture 8"/>
            <wp:cNvGraphicFramePr>
              <a:graphicFrameLocks noChangeAspect="1"/>
            </wp:cNvGraphicFramePr>
            <a:graphic>
              <a:graphicData uri="http://schemas.openxmlformats.org/drawingml/2006/picture">
                <pic:pic>
                  <pic:nvPicPr>
                    <pic:cNvPr id="0" name="08_zero_trust_rbac_matrix.png"/>
                    <pic:cNvPicPr/>
                  </pic:nvPicPr>
                  <pic:blipFill>
                    <a:blip r:embed="rId16"/>
                    <a:stretch>
                      <a:fillRect/>
                    </a:stretch>
                  </pic:blipFill>
                  <pic:spPr>
                    <a:xfrm>
                      <a:off x="0" y="0"/>
                      <a:ext cx="5303520" cy="2936823"/>
                    </a:xfrm>
                    <a:prstGeom prst="rect"/>
                  </pic:spPr>
                </pic:pic>
              </a:graphicData>
            </a:graphic>
          </wp:inline>
        </w:drawing>
      </w:r>
    </w:p>
    <w:p>
      <w:pPr>
        <w:spacing w:after="240"/>
        <w:jc w:val="center"/>
      </w:pPr>
      <w:r>
        <w:rPr>
          <w:rFonts w:ascii="Times New Roman" w:hAnsi="Times New Roman"/>
          <w:b/>
          <w:i/>
          <w:color w:val="475569"/>
          <w:sz w:val="20"/>
        </w:rPr>
        <w:t>Figure 4.8: Zero-Trust Role-Based Access Control (RBAC) Architecture</w:t>
      </w:r>
    </w:p>
    <w:p>
      <w:pPr>
        <w:spacing w:line="312" w:lineRule="auto" w:after="120"/>
      </w:pPr>
      <w:r>
        <w:rPr>
          <w:rFonts w:ascii="Times New Roman" w:hAnsi="Times New Roman"/>
          <w:b/>
          <w:color w:val="0F172A"/>
          <w:sz w:val="24"/>
        </w:rPr>
        <w:t xml:space="preserve">Security Matrix: </w:t>
      </w:r>
      <w:r>
        <w:rPr>
          <w:rFonts w:ascii="Times New Roman" w:hAnsi="Times New Roman"/>
          <w:color w:val="1E293B"/>
          <w:sz w:val="24"/>
        </w:rPr>
        <w:t>Table 4.6: Zero-Trust RBAC Privilege Matrix across System Personas</w:t>
      </w:r>
    </w:p>
    <w:tbl>
      <w:tblPr>
        <w:tblW w:type="auto" w:w="0"/>
        <w:jc w:val="center"/>
        <w:tblLook w:firstColumn="1" w:firstRow="1" w:lastColumn="0" w:lastRow="0" w:noHBand="0" w:noVBand="1" w:val="04A0"/>
      </w:tblPr>
      <w:tblGrid>
        <w:gridCol w:w="1800"/>
        <w:gridCol w:w="1800"/>
        <w:gridCol w:w="1800"/>
        <w:gridCol w:w="1800"/>
        <w:gridCol w:w="1800"/>
      </w:tblGrid>
      <w:tr>
        <w:tc>
          <w:tcPr>
            <w:tcW w:type="dxa" w:w="2304"/>
            <w:shd w:val="clear" w:color="auto" w:fill="E0F2FE"/>
            <w:tcMar>
              <w:top w:w="120" w:type="dxa"/>
              <w:bottom w:w="120" w:type="dxa"/>
              <w:left w:w="150" w:type="dxa"/>
              <w:right w:w="150" w:type="dxa"/>
            </w:tcMar>
          </w:tcPr>
          <w:p>
            <w:r>
              <w:rPr>
                <w:rFonts w:ascii="Times New Roman" w:hAnsi="Times New Roman"/>
                <w:b/>
                <w:color w:val="0F172A"/>
                <w:sz w:val="21"/>
              </w:rPr>
              <w:t>Functional Capability / Endpoint</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Doctor / Specialist</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Hospital Admin</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Sovereign Citizen</w:t>
            </w:r>
          </w:p>
        </w:tc>
        <w:tc>
          <w:tcPr>
            <w:tcW w:type="dxa" w:w="1728"/>
            <w:shd w:val="clear" w:color="auto" w:fill="E0F2FE"/>
            <w:tcMar>
              <w:top w:w="120" w:type="dxa"/>
              <w:bottom w:w="120" w:type="dxa"/>
              <w:left w:w="150" w:type="dxa"/>
              <w:right w:w="150" w:type="dxa"/>
            </w:tcMar>
          </w:tcPr>
          <w:p>
            <w:r>
              <w:rPr>
                <w:rFonts w:ascii="Times New Roman" w:hAnsi="Times New Roman"/>
                <w:b/>
                <w:color w:val="0F172A"/>
                <w:sz w:val="21"/>
              </w:rPr>
              <w:t>Enforcement Mechanism</w:t>
            </w:r>
          </w:p>
        </w:tc>
      </w:tr>
      <w:tr>
        <w:tc>
          <w:tcPr>
            <w:tcW w:type="dxa" w:w="2304"/>
            <w:shd w:val="clear" w:color="auto" w:fill="FFFFFF"/>
            <w:tcMar>
              <w:top w:w="80" w:type="dxa"/>
              <w:bottom w:w="80" w:type="dxa"/>
              <w:left w:w="120" w:type="dxa"/>
              <w:right w:w="120" w:type="dxa"/>
            </w:tcMar>
          </w:tcPr>
          <w:p>
            <w:r>
              <w:rPr>
                <w:rFonts w:ascii="Times New Roman" w:hAnsi="Times New Roman"/>
                <w:color w:val="334155"/>
                <w:sz w:val="20"/>
              </w:rPr>
              <w:t>View Assigned Patient Dossier</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ALLOWED (Roster Only)</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ALLOWED (Own Profile Only)</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Zero-Trust Session Filter</w:t>
            </w:r>
          </w:p>
        </w:tc>
      </w:tr>
      <w:tr>
        <w:tc>
          <w:tcPr>
            <w:tcW w:type="dxa" w:w="2304"/>
            <w:shd w:val="clear" w:color="auto" w:fill="F8FAFC"/>
            <w:tcMar>
              <w:top w:w="80" w:type="dxa"/>
              <w:bottom w:w="80" w:type="dxa"/>
              <w:left w:w="120" w:type="dxa"/>
              <w:right w:w="120" w:type="dxa"/>
            </w:tcMar>
          </w:tcPr>
          <w:p>
            <w:r>
              <w:rPr>
                <w:rFonts w:ascii="Times New Roman" w:hAnsi="Times New Roman"/>
                <w:color w:val="334155"/>
                <w:sz w:val="20"/>
              </w:rPr>
              <w:t>Record Encounter &amp; Prescribe</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ALLOWED (Certified)</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(403 Forbidden)</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Medical License Validation</w:t>
            </w:r>
          </w:p>
        </w:tc>
      </w:tr>
      <w:tr>
        <w:tc>
          <w:tcPr>
            <w:tcW w:type="dxa" w:w="2304"/>
            <w:shd w:val="clear" w:color="auto" w:fill="FFFFFF"/>
            <w:tcMar>
              <w:top w:w="80" w:type="dxa"/>
              <w:bottom w:w="80" w:type="dxa"/>
              <w:left w:w="120" w:type="dxa"/>
              <w:right w:w="120" w:type="dxa"/>
            </w:tcMar>
          </w:tcPr>
          <w:p>
            <w:r>
              <w:rPr>
                <w:rFonts w:ascii="Times New Roman" w:hAnsi="Times New Roman"/>
                <w:color w:val="334155"/>
                <w:sz w:val="20"/>
              </w:rPr>
              <w:t>Certify Disease Cure Milestone</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ALLOWED (Attending)</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DENIED (403 Forbidden)</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Clinical Role Guard</w:t>
            </w:r>
          </w:p>
        </w:tc>
      </w:tr>
      <w:tr>
        <w:tc>
          <w:tcPr>
            <w:tcW w:type="dxa" w:w="2304"/>
            <w:shd w:val="clear" w:color="auto" w:fill="F8FAFC"/>
            <w:tcMar>
              <w:top w:w="80" w:type="dxa"/>
              <w:bottom w:w="80" w:type="dxa"/>
              <w:left w:w="120" w:type="dxa"/>
              <w:right w:w="120" w:type="dxa"/>
            </w:tcMar>
          </w:tcPr>
          <w:p>
            <w:r>
              <w:rPr>
                <w:rFonts w:ascii="Times New Roman" w:hAnsi="Times New Roman"/>
                <w:color w:val="334155"/>
                <w:sz w:val="20"/>
              </w:rPr>
              <w:t>Query Doctor AI Copilot</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ALLOWED (Clinical Tool)</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(Separate Citizen Bot)</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Workstation Route Scoping</w:t>
            </w:r>
          </w:p>
        </w:tc>
      </w:tr>
      <w:tr>
        <w:tc>
          <w:tcPr>
            <w:tcW w:type="dxa" w:w="2304"/>
            <w:shd w:val="clear" w:color="auto" w:fill="FFFFFF"/>
            <w:tcMar>
              <w:top w:w="80" w:type="dxa"/>
              <w:bottom w:w="80" w:type="dxa"/>
              <w:left w:w="120" w:type="dxa"/>
              <w:right w:w="120" w:type="dxa"/>
            </w:tcMar>
          </w:tcPr>
          <w:p>
            <w:r>
              <w:rPr>
                <w:rFonts w:ascii="Times New Roman" w:hAnsi="Times New Roman"/>
                <w:color w:val="334155"/>
                <w:sz w:val="20"/>
              </w:rPr>
              <w:t>Manage Hospital Facility &amp; Staff</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ALLOWED (Admin Workstation)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DENIED (403 Forbidden)</w:t>
            </w:r>
          </w:p>
        </w:tc>
        <w:tc>
          <w:tcPr>
            <w:tcW w:type="dxa" w:w="1728"/>
            <w:shd w:val="clear" w:color="auto" w:fill="FFFFFF"/>
            <w:tcMar>
              <w:top w:w="80" w:type="dxa"/>
              <w:bottom w:w="80" w:type="dxa"/>
              <w:left w:w="120" w:type="dxa"/>
              <w:right w:w="120" w:type="dxa"/>
            </w:tcMar>
          </w:tcPr>
          <w:p>
            <w:r>
              <w:rPr>
                <w:rFonts w:ascii="Times New Roman" w:hAnsi="Times New Roman"/>
                <w:color w:val="334155"/>
                <w:sz w:val="20"/>
              </w:rPr>
              <w:t>Admin Role Guard</w:t>
            </w:r>
          </w:p>
        </w:tc>
      </w:tr>
      <w:tr>
        <w:tc>
          <w:tcPr>
            <w:tcW w:type="dxa" w:w="2304"/>
            <w:shd w:val="clear" w:color="auto" w:fill="F8FAFC"/>
            <w:tcMar>
              <w:top w:w="80" w:type="dxa"/>
              <w:bottom w:w="80" w:type="dxa"/>
              <w:left w:w="120" w:type="dxa"/>
              <w:right w:w="120" w:type="dxa"/>
            </w:tcMar>
          </w:tcPr>
          <w:p>
            <w:r>
              <w:rPr>
                <w:rFonts w:ascii="Times New Roman" w:hAnsi="Times New Roman"/>
                <w:color w:val="334155"/>
                <w:sz w:val="20"/>
              </w:rPr>
              <w:t>Download ABHA Identity Card</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(Clinical View)</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DENIED (403 Forbidden)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ALLOWED (Sovereign DigiLocker)</w:t>
            </w:r>
          </w:p>
        </w:tc>
        <w:tc>
          <w:tcPr>
            <w:tcW w:type="dxa" w:w="1728"/>
            <w:shd w:val="clear" w:color="auto" w:fill="F8FAFC"/>
            <w:tcMar>
              <w:top w:w="80" w:type="dxa"/>
              <w:bottom w:w="80" w:type="dxa"/>
              <w:left w:w="120" w:type="dxa"/>
              <w:right w:w="120" w:type="dxa"/>
            </w:tcMar>
          </w:tcPr>
          <w:p>
            <w:r>
              <w:rPr>
                <w:rFonts w:ascii="Times New Roman" w:hAnsi="Times New Roman"/>
                <w:color w:val="334155"/>
                <w:sz w:val="20"/>
              </w:rPr>
              <w:t>Citizen Cryptographic Gate</w:t>
            </w:r>
          </w:p>
        </w:tc>
      </w:tr>
    </w:tbl>
    <w:p>
      <w:pPr>
        <w:spacing w:after="120"/>
      </w:pPr>
    </w:p>
    <w:p>
      <w:r>
        <w:br w:type="page"/>
      </w:r>
    </w:p>
    <w:p>
      <w:pPr>
        <w:pStyle w:val="Heading1"/>
        <w:keepNext/>
        <w:spacing w:before="320" w:after="200"/>
      </w:pPr>
      <w:r>
        <w:rPr>
          <w:rFonts w:ascii="Times New Roman" w:hAnsi="Times New Roman"/>
          <w:b/>
          <w:color w:val="0F172A"/>
          <w:sz w:val="32"/>
        </w:rPr>
        <w:t>CHAPTER 5: IMPLEMENTATION DETAILS &amp; ALGORITHM ENGINEERING</w:t>
      </w:r>
    </w:p>
    <w:p>
      <w:pPr>
        <w:pStyle w:val="Heading2"/>
        <w:keepNext/>
        <w:spacing w:before="280" w:after="120"/>
      </w:pPr>
      <w:r>
        <w:rPr>
          <w:rFonts w:ascii="Times New Roman" w:hAnsi="Times New Roman"/>
          <w:b/>
          <w:color w:val="0284C7"/>
          <w:sz w:val="27"/>
        </w:rPr>
        <w:t>5.1 Codebase Organization &amp; Modular Directory Hierarchy</w:t>
      </w:r>
    </w:p>
    <w:p>
      <w:pPr>
        <w:spacing w:line="312" w:lineRule="auto" w:after="120"/>
      </w:pPr>
      <w:r>
        <w:rPr>
          <w:rFonts w:ascii="Times New Roman" w:hAnsi="Times New Roman"/>
          <w:color w:val="1E293B"/>
          <w:sz w:val="24"/>
        </w:rPr>
        <w:t>The MediSutra codebase is organized into a clean monorepo architecture with distinct separation between backend micro-services, frontend reactive interfaces, and engineering specifications:</w:t>
        <w:br/>
        <w:t>• backend/: Express.js server in TypeScript, modular domain routers, and middleware under `src/modules/`.</w:t>
        <w:br/>
        <w:t>• frontend/: React 19 single-page application built with Vite, TypeScript components, and custom CSS design system.</w:t>
        <w:br/>
        <w:t>• docs/: Comprehensive architecture specifications, ER diagrams, API contracts, and high-resolution screenshots.</w:t>
      </w:r>
    </w:p>
    <w:p>
      <w:pPr>
        <w:pStyle w:val="Heading2"/>
        <w:keepNext/>
        <w:spacing w:before="280" w:after="120"/>
      </w:pPr>
      <w:r>
        <w:rPr>
          <w:rFonts w:ascii="Times New Roman" w:hAnsi="Times New Roman"/>
          <w:b/>
          <w:color w:val="0284C7"/>
          <w:sz w:val="27"/>
        </w:rPr>
        <w:t>5.2 Core Backend Services &amp; Modular Domain Routers</w:t>
      </w:r>
    </w:p>
    <w:p>
      <w:pPr>
        <w:spacing w:line="312" w:lineRule="auto" w:after="120"/>
      </w:pPr>
      <w:r>
        <w:rPr>
          <w:rFonts w:ascii="Times New Roman" w:hAnsi="Times New Roman"/>
          <w:color w:val="1E293B"/>
          <w:sz w:val="24"/>
        </w:rPr>
        <w:t>The backend routes are decomposed into domain-specific modules under `backend/src/modules/`:</w:t>
        <w:br/>
        <w:t>• `authRouter.ts`: Handles authentication, role switching, credential verification, and session state persistence.</w:t>
        <w:br/>
        <w:t>• `doctorRouter.ts`: Powers the doctor patient roster, clinical dossier retrieval, encounter ingestion, and disease cure certification.</w:t>
        <w:br/>
        <w:t>• `patientRouter.ts`: Serves citizen self-service data, ABHA card metadata, and sovereign document vaults.</w:t>
        <w:br/>
        <w:t>• `hospitalRouter.ts`: Exposes the federated hospital registry, facility directory, and operational capacity metrics.</w:t>
        <w:br/>
        <w:t>• `aiRouter.ts`: Implements the deterministic Clinical AI Copilot and report analysis engine.</w:t>
      </w:r>
    </w:p>
    <w:p>
      <w:pPr>
        <w:pStyle w:val="Heading2"/>
        <w:keepNext/>
        <w:spacing w:before="280" w:after="120"/>
      </w:pPr>
      <w:r>
        <w:rPr>
          <w:rFonts w:ascii="Times New Roman" w:hAnsi="Times New Roman"/>
          <w:b/>
          <w:color w:val="0284C7"/>
          <w:sz w:val="27"/>
        </w:rPr>
        <w:t>5.3 Clinical AI Copilot &amp; Trajectory Computing Algorithms</w:t>
      </w:r>
    </w:p>
    <w:p>
      <w:pPr>
        <w:spacing w:line="312" w:lineRule="auto" w:after="120"/>
      </w:pPr>
      <w:r>
        <w:rPr>
          <w:rFonts w:ascii="Times New Roman" w:hAnsi="Times New Roman"/>
          <w:color w:val="1E293B"/>
          <w:sz w:val="24"/>
        </w:rPr>
        <w:t>The Clinical AI Copilot operates via a 5-step deterministic workflow modeled in Figure 5.1.</w:t>
      </w:r>
    </w:p>
    <w:p>
      <w:pPr>
        <w:spacing w:before="160" w:after="80"/>
        <w:jc w:val="center"/>
      </w:pPr>
      <w:r>
        <w:drawing>
          <wp:inline xmlns:a="http://schemas.openxmlformats.org/drawingml/2006/main" xmlns:pic="http://schemas.openxmlformats.org/drawingml/2006/picture">
            <wp:extent cx="5303520" cy="3988487"/>
            <wp:docPr id="9" name="Picture 9"/>
            <wp:cNvGraphicFramePr>
              <a:graphicFrameLocks noChangeAspect="1"/>
            </wp:cNvGraphicFramePr>
            <a:graphic>
              <a:graphicData uri="http://schemas.openxmlformats.org/drawingml/2006/picture">
                <pic:pic>
                  <pic:nvPicPr>
                    <pic:cNvPr id="0" name="06_clinical_ai_rag_flowchart.png"/>
                    <pic:cNvPicPr/>
                  </pic:nvPicPr>
                  <pic:blipFill>
                    <a:blip r:embed="rId17"/>
                    <a:stretch>
                      <a:fillRect/>
                    </a:stretch>
                  </pic:blipFill>
                  <pic:spPr>
                    <a:xfrm>
                      <a:off x="0" y="0"/>
                      <a:ext cx="5303520" cy="3988487"/>
                    </a:xfrm>
                    <a:prstGeom prst="rect"/>
                  </pic:spPr>
                </pic:pic>
              </a:graphicData>
            </a:graphic>
          </wp:inline>
        </w:drawing>
      </w:r>
    </w:p>
    <w:p>
      <w:pPr>
        <w:spacing w:after="240"/>
        <w:jc w:val="center"/>
      </w:pPr>
      <w:r>
        <w:rPr>
          <w:rFonts w:ascii="Times New Roman" w:hAnsi="Times New Roman"/>
          <w:b/>
          <w:i/>
          <w:color w:val="475569"/>
          <w:sz w:val="20"/>
        </w:rPr>
        <w:t>Figure 5.1: Deterministic Clinical AI Decision-Support Flowchart</w:t>
      </w:r>
    </w:p>
    <w:p>
      <w:pPr>
        <w:spacing w:line="312" w:lineRule="auto" w:after="120"/>
      </w:pPr>
      <w:r>
        <w:rPr>
          <w:rFonts w:ascii="Times New Roman" w:hAnsi="Times New Roman"/>
          <w:b/>
          <w:color w:val="0F172A"/>
          <w:sz w:val="24"/>
        </w:rPr>
        <w:t xml:space="preserve">Trajectory Algorithm: </w:t>
      </w:r>
      <w:r>
        <w:rPr>
          <w:rFonts w:ascii="Times New Roman" w:hAnsi="Times New Roman"/>
          <w:color w:val="1E293B"/>
          <w:sz w:val="24"/>
        </w:rPr>
        <w:t>Mathematical Formulation of Biomarker Trajectories:</w:t>
      </w:r>
    </w:p>
    <w:p>
      <w:pPr>
        <w:spacing w:line="312" w:lineRule="auto" w:after="120"/>
      </w:pPr>
      <w:r>
        <w:rPr>
          <w:rFonts w:ascii="Times New Roman" w:hAnsi="Times New Roman"/>
          <w:color w:val="1E293B"/>
          <w:sz w:val="24"/>
        </w:rPr>
        <w:t>For any lab analyte b with baseline reading V_baseline at date T_baseline and latest reading V_latest at date T_latest, the trajectory differential delta is computed as:</w:t>
        <w:br/>
        <w:br/>
        <w:t xml:space="preserve">    delta = V_latest - V_baseline</w:t>
        <w:br/>
        <w:t xml:space="preserve">    percentage_change = (delta / V_baseline) * 100</w:t>
        <w:br/>
        <w:br/>
        <w:t>The trajectory directionality flag is deterministically assigned based on clinical normality intervals [Ref_min, Ref_max]:</w:t>
        <w:br/>
        <w:t>• If V_latest &lt; V_baseline and parameter indicates metabolic pathology (e.g., HbA1c, Fasting Glucose): Trend = 'Down (Improved / Decreasing)'</w:t>
        <w:br/>
        <w:t>• If V_latest &gt; V_baseline and parameter exceeds Ref_max: Trend = 'Up (Elevated / Increasing)'</w:t>
        <w:br/>
        <w:t>• If |percentage_change| &lt; 3.0%: Trend = 'Stable'</w:t>
      </w:r>
    </w:p>
    <w:p>
      <w:pPr>
        <w:spacing w:before="160" w:after="80"/>
        <w:jc w:val="center"/>
      </w:pPr>
      <w:r>
        <w:drawing>
          <wp:inline xmlns:a="http://schemas.openxmlformats.org/drawingml/2006/main" xmlns:pic="http://schemas.openxmlformats.org/drawingml/2006/picture">
            <wp:extent cx="5303520" cy="2357716"/>
            <wp:docPr id="10" name="Picture 10"/>
            <wp:cNvGraphicFramePr>
              <a:graphicFrameLocks noChangeAspect="1"/>
            </wp:cNvGraphicFramePr>
            <a:graphic>
              <a:graphicData uri="http://schemas.openxmlformats.org/drawingml/2006/picture">
                <pic:pic>
                  <pic:nvPicPr>
                    <pic:cNvPr id="0" name="07_biomarker_trajectories_chart.png"/>
                    <pic:cNvPicPr/>
                  </pic:nvPicPr>
                  <pic:blipFill>
                    <a:blip r:embed="rId18"/>
                    <a:stretch>
                      <a:fillRect/>
                    </a:stretch>
                  </pic:blipFill>
                  <pic:spPr>
                    <a:xfrm>
                      <a:off x="0" y="0"/>
                      <a:ext cx="5303520" cy="2357716"/>
                    </a:xfrm>
                    <a:prstGeom prst="rect"/>
                  </pic:spPr>
                </pic:pic>
              </a:graphicData>
            </a:graphic>
          </wp:inline>
        </w:drawing>
      </w:r>
    </w:p>
    <w:p>
      <w:pPr>
        <w:spacing w:after="240"/>
        <w:jc w:val="center"/>
      </w:pPr>
      <w:r>
        <w:rPr>
          <w:rFonts w:ascii="Times New Roman" w:hAnsi="Times New Roman"/>
          <w:b/>
          <w:i/>
          <w:color w:val="475569"/>
          <w:sz w:val="20"/>
        </w:rPr>
        <w:t>Figure 5.2: Longitudinal Biomarker Trajectory Analysis (HbA1c &amp; Fasting Glucose)</w:t>
      </w:r>
    </w:p>
    <w:p>
      <w:pPr>
        <w:pStyle w:val="Heading2"/>
        <w:keepNext/>
        <w:spacing w:before="280" w:after="120"/>
      </w:pPr>
      <w:r>
        <w:rPr>
          <w:rFonts w:ascii="Times New Roman" w:hAnsi="Times New Roman"/>
          <w:b/>
          <w:color w:val="0284C7"/>
          <w:sz w:val="27"/>
        </w:rPr>
        <w:t>5.4 Frontend Specialist Workstation &amp; React Component Architecture</w:t>
      </w:r>
    </w:p>
    <w:p>
      <w:pPr>
        <w:spacing w:line="312" w:lineRule="auto" w:after="120"/>
      </w:pPr>
      <w:r>
        <w:rPr>
          <w:rFonts w:ascii="Times New Roman" w:hAnsi="Times New Roman"/>
          <w:color w:val="1E293B"/>
          <w:sz w:val="24"/>
        </w:rPr>
        <w:t>The frontend is implemented in React 19 with strict TypeScript type checking. The component tree is structured hierarchically:</w:t>
        <w:br/>
        <w:t>• `App.tsx`: Master application container managing authentication state, active persona views, and global notifications.</w:t>
        <w:br/>
        <w:t>• `LoginGatekeeper.tsx`: Zero-Trust modal presenting one-click authenticated personas (Doctor Priya Nair, Admin Rajesh Verma, Citizen Rahul Sharma).</w:t>
        <w:br/>
        <w:t>• Doctor Station View: Houses the Assigned Patients Roster, Patient Longitudinal Dossier, Encounter Ingestion Modal, and the Clinical AI Copilot Card.</w:t>
      </w:r>
    </w:p>
    <w:p>
      <w:pPr>
        <w:pStyle w:val="Heading2"/>
        <w:keepNext/>
        <w:spacing w:before="280" w:after="120"/>
      </w:pPr>
      <w:r>
        <w:rPr>
          <w:rFonts w:ascii="Times New Roman" w:hAnsi="Times New Roman"/>
          <w:b/>
          <w:color w:val="0284C7"/>
          <w:sz w:val="27"/>
        </w:rPr>
        <w:t>5.5 Luxury Clinical UI Design System &amp; Micro-Animations</w:t>
      </w:r>
    </w:p>
    <w:p>
      <w:pPr>
        <w:spacing w:line="312" w:lineRule="auto" w:after="120"/>
      </w:pPr>
      <w:r>
        <w:rPr>
          <w:rFonts w:ascii="Times New Roman" w:hAnsi="Times New Roman"/>
          <w:color w:val="1E293B"/>
          <w:sz w:val="24"/>
        </w:rPr>
        <w:t>To provide a premier user experience for clinicians, custom CSS classes and animations were implemented in `frontend/src/index.css`:</w:t>
        <w:br/>
        <w:t>• `.ai-copilot-card`: Clean card with a 5-second breathing ambient glow (`ai-pulse-glow`) and a 4px flowing top rainbow accent bar (`rainbow-shimmer`).</w:t>
        <w:br/>
        <w:t>• `pulse-live-dot`: A 2-second rhythmic green pulsing dot on the 'DOSSIER GROUNDED' status badge.</w:t>
        <w:br/>
        <w:t>• `.ai-prompt-pill`: Interactive preset chips that elevate vertically (`translateY(-2px)`) on hover.</w:t>
        <w:br/>
        <w:t>• `.ai-input-box`: Focus-within glowing border with dedicated multi-hospital provenance captions.</w:t>
        <w:br/>
        <w:t>• Real-Time Markdown Formatter: Custom React parsing engine that renders raw markdown into styled blue section headers, dark subheadings, chevron bullet lists, and code badges.</w:t>
      </w:r>
    </w:p>
    <w:p>
      <w:pPr>
        <w:pStyle w:val="Heading2"/>
        <w:keepNext/>
        <w:spacing w:before="280" w:after="120"/>
      </w:pPr>
      <w:r>
        <w:rPr>
          <w:rFonts w:ascii="Times New Roman" w:hAnsi="Times New Roman"/>
          <w:b/>
          <w:color w:val="0284C7"/>
          <w:sz w:val="27"/>
        </w:rPr>
        <w:t>5.6 Coding Conventions, Oxlint &amp; Version Control</w:t>
      </w:r>
    </w:p>
    <w:p>
      <w:pPr>
        <w:spacing w:line="312" w:lineRule="auto" w:after="120"/>
      </w:pPr>
      <w:r>
        <w:rPr>
          <w:rFonts w:ascii="Times New Roman" w:hAnsi="Times New Roman"/>
          <w:color w:val="1E293B"/>
          <w:sz w:val="24"/>
        </w:rPr>
        <w:t>The codebase adheres to strict engineering and quality standards:</w:t>
        <w:br/>
        <w:t>• Full TypeScript Compilation: Verified with `tsc -b` with 0 compiler errors.</w:t>
        <w:br/>
        <w:t>• Linter Discipline: Oxlint verified across all 5 modules with 0 errors.</w:t>
        <w:br/>
        <w:t>• Git Version Control: Systematic commits pushed to `https://github.com/Samarth-27/MediSutra`.</w:t>
      </w:r>
    </w:p>
    <w:p>
      <w:r>
        <w:br w:type="page"/>
      </w:r>
    </w:p>
    <w:p>
      <w:pPr>
        <w:pStyle w:val="Heading1"/>
        <w:keepNext/>
        <w:spacing w:before="320" w:after="200"/>
      </w:pPr>
      <w:r>
        <w:rPr>
          <w:rFonts w:ascii="Times New Roman" w:hAnsi="Times New Roman"/>
          <w:b/>
          <w:color w:val="0F172A"/>
          <w:sz w:val="32"/>
        </w:rPr>
        <w:t>CHAPTER 6: RESULTS, EXPERIMENTAL VERIFICATION &amp; PERFORMANCE ANALYSIS</w:t>
      </w:r>
    </w:p>
    <w:p>
      <w:pPr>
        <w:pStyle w:val="Heading2"/>
        <w:keepNext/>
        <w:spacing w:before="280" w:after="120"/>
      </w:pPr>
      <w:r>
        <w:rPr>
          <w:rFonts w:ascii="Times New Roman" w:hAnsi="Times New Roman"/>
          <w:b/>
          <w:color w:val="0284C7"/>
          <w:sz w:val="27"/>
        </w:rPr>
        <w:t>6.1 Test Methodology, Environments &amp; Test Harness</w:t>
      </w:r>
    </w:p>
    <w:p>
      <w:pPr>
        <w:spacing w:line="312" w:lineRule="auto" w:after="120"/>
      </w:pPr>
      <w:r>
        <w:rPr>
          <w:rFonts w:ascii="Times New Roman" w:hAnsi="Times New Roman"/>
          <w:color w:val="1E293B"/>
          <w:sz w:val="24"/>
        </w:rPr>
        <w:t>The MediSutra platform underwent rigorous multi-stage verification including automated unit tests, REST API integration benchmarks, end-to-end clinical workflow simulations, and browser visual regression testing across desktop and tablet viewport resolutions.</w:t>
      </w:r>
    </w:p>
    <w:p>
      <w:pPr>
        <w:pStyle w:val="Heading2"/>
        <w:keepNext/>
        <w:spacing w:before="280" w:after="120"/>
      </w:pPr>
      <w:r>
        <w:rPr>
          <w:rFonts w:ascii="Times New Roman" w:hAnsi="Times New Roman"/>
          <w:b/>
          <w:color w:val="0284C7"/>
          <w:sz w:val="27"/>
        </w:rPr>
        <w:t>6.2 Comprehensive Test Case Execution Matrix</w:t>
      </w:r>
    </w:p>
    <w:p>
      <w:pPr>
        <w:spacing w:line="312" w:lineRule="auto" w:after="120"/>
      </w:pPr>
      <w:r>
        <w:rPr>
          <w:rFonts w:ascii="Times New Roman" w:hAnsi="Times New Roman"/>
          <w:color w:val="1E293B"/>
          <w:sz w:val="24"/>
        </w:rPr>
        <w:t>Table 6.1 details automated unit and integration test executions: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152"/>
            <w:shd w:val="clear" w:color="auto" w:fill="E0F2FE"/>
            <w:tcMar>
              <w:top w:w="120" w:type="dxa"/>
              <w:bottom w:w="120" w:type="dxa"/>
              <w:left w:w="150" w:type="dxa"/>
              <w:right w:w="150" w:type="dxa"/>
            </w:tcMar>
          </w:tcPr>
          <w:p>
            <w:r>
              <w:rPr>
                <w:rFonts w:ascii="Times New Roman" w:hAnsi="Times New Roman"/>
                <w:b/>
                <w:color w:val="0F172A"/>
                <w:sz w:val="21"/>
              </w:rPr>
              <w:t>Test ID</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Component / Route</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Input Conditions</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Expected Output</w:t>
            </w:r>
          </w:p>
        </w:tc>
        <w:tc>
          <w:tcPr>
            <w:tcW w:type="dxa" w:w="2016"/>
            <w:shd w:val="clear" w:color="auto" w:fill="E0F2FE"/>
            <w:tcMar>
              <w:top w:w="120" w:type="dxa"/>
              <w:bottom w:w="120" w:type="dxa"/>
              <w:left w:w="150" w:type="dxa"/>
              <w:right w:w="150" w:type="dxa"/>
            </w:tcMar>
          </w:tcPr>
          <w:p>
            <w:r>
              <w:rPr>
                <w:rFonts w:ascii="Times New Roman" w:hAnsi="Times New Roman"/>
                <w:b/>
                <w:color w:val="0F172A"/>
                <w:sz w:val="21"/>
              </w:rPr>
              <w:t>Observed Output</w:t>
            </w:r>
          </w:p>
        </w:tc>
        <w:tc>
          <w:tcPr>
            <w:tcW w:type="dxa" w:w="1008"/>
            <w:shd w:val="clear" w:color="auto" w:fill="E0F2FE"/>
            <w:tcMar>
              <w:top w:w="120" w:type="dxa"/>
              <w:bottom w:w="120" w:type="dxa"/>
              <w:left w:w="150" w:type="dxa"/>
              <w:right w:w="150" w:type="dxa"/>
            </w:tcMar>
          </w:tcPr>
          <w:p>
            <w:r>
              <w:rPr>
                <w:rFonts w:ascii="Times New Roman" w:hAnsi="Times New Roman"/>
                <w:b/>
                <w:color w:val="0F172A"/>
                <w:sz w:val="21"/>
              </w:rPr>
              <w:t>Status</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TC-01</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GET /api/v1/auth/session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Unauthenticated request</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Return 401 / null session</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null session returned</w:t>
            </w:r>
          </w:p>
        </w:tc>
        <w:tc>
          <w:tcPr>
            <w:tcW w:type="dxa" w:w="1008"/>
            <w:shd w:val="clear" w:color="auto" w:fill="FFFFFF"/>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TC-02</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POST /api/v1/auth/login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Role: DOCTOR, Hospital: Apollo</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Return authenticated session token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Authenticated session (Dr. Priya Nair)</w:t>
            </w:r>
          </w:p>
        </w:tc>
        <w:tc>
          <w:tcPr>
            <w:tcW w:type="dxa" w:w="1008"/>
            <w:shd w:val="clear" w:color="auto" w:fill="F8FAFC"/>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TC-03</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GET /api/v1/doctor/patient-dossier</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patientId: pat-demo-001</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Return complete cross-hospital dossier</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200 OK, full dossier returned</w:t>
            </w:r>
          </w:p>
        </w:tc>
        <w:tc>
          <w:tcPr>
            <w:tcW w:type="dxa" w:w="1008"/>
            <w:shd w:val="clear" w:color="auto" w:fill="FFFFFF"/>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TC-04</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POST /api/v1/doctor/cure-condition</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conditionId: cond-002, Date: 2026-08</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Transition to RESOLVED, update evidence</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Condition marked RESOLVED</w:t>
            </w:r>
          </w:p>
        </w:tc>
        <w:tc>
          <w:tcPr>
            <w:tcW w:type="dxa" w:w="1008"/>
            <w:shd w:val="clear" w:color="auto" w:fill="F8FAFC"/>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TC-05</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POST /api/v1/ai/doctor-analysis</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Query: 'High fasting sugar &amp; tingling'</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Return synthesis with HbA1c/Glucose trajectory</w:t>
            </w:r>
          </w:p>
        </w:tc>
        <w:tc>
          <w:tcPr>
            <w:tcW w:type="dxa" w:w="2016"/>
            <w:shd w:val="clear" w:color="auto" w:fill="FFFFFF"/>
            <w:tcMar>
              <w:top w:w="80" w:type="dxa"/>
              <w:bottom w:w="80" w:type="dxa"/>
              <w:left w:w="120" w:type="dxa"/>
              <w:right w:w="120" w:type="dxa"/>
            </w:tcMar>
          </w:tcPr>
          <w:p>
            <w:r>
              <w:rPr>
                <w:rFonts w:ascii="Times New Roman" w:hAnsi="Times New Roman"/>
                <w:color w:val="334155"/>
                <w:sz w:val="20"/>
              </w:rPr>
              <w:t>200 OK, 3 labs, citations returned</w:t>
            </w:r>
          </w:p>
        </w:tc>
        <w:tc>
          <w:tcPr>
            <w:tcW w:type="dxa" w:w="1008"/>
            <w:shd w:val="clear" w:color="auto" w:fill="FFFFFF"/>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TC-06</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POST /api/v1/ai/doctor-analysis</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Query: Empty string</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Return 400 Bad Request error</w:t>
            </w:r>
          </w:p>
        </w:tc>
        <w:tc>
          <w:tcPr>
            <w:tcW w:type="dxa" w:w="2016"/>
            <w:shd w:val="clear" w:color="auto" w:fill="F8FAFC"/>
            <w:tcMar>
              <w:top w:w="80" w:type="dxa"/>
              <w:bottom w:w="80" w:type="dxa"/>
              <w:left w:w="120" w:type="dxa"/>
              <w:right w:w="120" w:type="dxa"/>
            </w:tcMar>
          </w:tcPr>
          <w:p>
            <w:r>
              <w:rPr>
                <w:rFonts w:ascii="Times New Roman" w:hAnsi="Times New Roman"/>
                <w:color w:val="334155"/>
                <w:sz w:val="20"/>
              </w:rPr>
              <w:t>400 Bad Request with message</w:t>
            </w:r>
          </w:p>
        </w:tc>
        <w:tc>
          <w:tcPr>
            <w:tcW w:type="dxa" w:w="1008"/>
            <w:shd w:val="clear" w:color="auto" w:fill="F8FAFC"/>
            <w:tcMar>
              <w:top w:w="80" w:type="dxa"/>
              <w:bottom w:w="80" w:type="dxa"/>
              <w:left w:w="120" w:type="dxa"/>
              <w:right w:w="120" w:type="dxa"/>
            </w:tcMar>
          </w:tcPr>
          <w:p>
            <w:r>
              <w:rPr>
                <w:rFonts w:ascii="Times New Roman" w:hAnsi="Times New Roman"/>
                <w:color w:val="334155"/>
                <w:sz w:val="20"/>
              </w:rPr>
              <w:t>PASSED</w:t>
            </w:r>
          </w:p>
        </w:tc>
      </w:tr>
    </w:tbl>
    <w:p>
      <w:pPr>
        <w:spacing w:after="120"/>
      </w:pPr>
    </w:p>
    <w:p>
      <w:pPr>
        <w:spacing w:line="312" w:lineRule="auto" w:after="120"/>
      </w:pPr>
      <w:r>
        <w:rPr>
          <w:rFonts w:ascii="Times New Roman" w:hAnsi="Times New Roman"/>
          <w:color w:val="1E293B"/>
          <w:sz w:val="24"/>
        </w:rPr>
        <w:t>Table 6.2 details end-to-end clinical workflow test executions: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152"/>
            <w:shd w:val="clear" w:color="auto" w:fill="E0F2FE"/>
            <w:tcMar>
              <w:top w:w="120" w:type="dxa"/>
              <w:bottom w:w="120" w:type="dxa"/>
              <w:left w:w="150" w:type="dxa"/>
              <w:right w:w="150" w:type="dxa"/>
            </w:tcMar>
          </w:tcPr>
          <w:p>
            <w:r>
              <w:rPr>
                <w:rFonts w:ascii="Times New Roman" w:hAnsi="Times New Roman"/>
                <w:b/>
                <w:color w:val="0F172A"/>
                <w:sz w:val="21"/>
              </w:rPr>
              <w:t>Workflow ID</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Scenario Description</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Steps Executed</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Expected Clinical Result</w:t>
            </w:r>
          </w:p>
        </w:tc>
        <w:tc>
          <w:tcPr>
            <w:tcW w:type="dxa" w:w="2160"/>
            <w:shd w:val="clear" w:color="auto" w:fill="E0F2FE"/>
            <w:tcMar>
              <w:top w:w="120" w:type="dxa"/>
              <w:bottom w:w="120" w:type="dxa"/>
              <w:left w:w="150" w:type="dxa"/>
              <w:right w:w="150" w:type="dxa"/>
            </w:tcMar>
          </w:tcPr>
          <w:p>
            <w:r>
              <w:rPr>
                <w:rFonts w:ascii="Times New Roman" w:hAnsi="Times New Roman"/>
                <w:b/>
                <w:color w:val="0F172A"/>
                <w:sz w:val="21"/>
              </w:rPr>
              <w:t>Observed Outcome</w:t>
            </w:r>
          </w:p>
        </w:tc>
        <w:tc>
          <w:tcPr>
            <w:tcW w:type="dxa" w:w="1008"/>
            <w:shd w:val="clear" w:color="auto" w:fill="E0F2FE"/>
            <w:tcMar>
              <w:top w:w="120" w:type="dxa"/>
              <w:bottom w:w="120" w:type="dxa"/>
              <w:left w:w="150" w:type="dxa"/>
              <w:right w:w="150" w:type="dxa"/>
            </w:tcMar>
          </w:tcPr>
          <w:p>
            <w:r>
              <w:rPr>
                <w:rFonts w:ascii="Times New Roman" w:hAnsi="Times New Roman"/>
                <w:b/>
                <w:color w:val="0F172A"/>
                <w:sz w:val="21"/>
              </w:rPr>
              <w:t>Status</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WF-01</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Metabolic Patient Onboarding</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Select Rahul Sharma, view active conditions</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Display Type 2 Diabetes and Hypertension</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Active conditions rendered with ICD-10</w:t>
            </w:r>
          </w:p>
        </w:tc>
        <w:tc>
          <w:tcPr>
            <w:tcW w:type="dxa" w:w="1008"/>
            <w:shd w:val="clear" w:color="auto" w:fill="FFFFFF"/>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WF-02</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Acute Illness Cure Stamping</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Select Dengue, input platelet recovery evidence</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Condition moves from Active to Resolved</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Dengue moved to Resolved Cured section</w:t>
            </w:r>
          </w:p>
        </w:tc>
        <w:tc>
          <w:tcPr>
            <w:tcW w:type="dxa" w:w="1008"/>
            <w:shd w:val="clear" w:color="auto" w:fill="F8FAFC"/>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WF-03</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Lab Panel Vault Ingestion</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Upload 2026 Fasting Plasma Glucose (138 mg/dL)</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Update trajectory delta from 172 baseline</w:t>
            </w:r>
          </w:p>
        </w:tc>
        <w:tc>
          <w:tcPr>
            <w:tcW w:type="dxa" w:w="2160"/>
            <w:shd w:val="clear" w:color="auto" w:fill="FFFFFF"/>
            <w:tcMar>
              <w:top w:w="80" w:type="dxa"/>
              <w:bottom w:w="80" w:type="dxa"/>
              <w:left w:w="120" w:type="dxa"/>
              <w:right w:w="120" w:type="dxa"/>
            </w:tcMar>
          </w:tcPr>
          <w:p>
            <w:r>
              <w:rPr>
                <w:rFonts w:ascii="Times New Roman" w:hAnsi="Times New Roman"/>
                <w:color w:val="334155"/>
                <w:sz w:val="20"/>
              </w:rPr>
              <w:t>Trajectory table shows Improved/Down</w:t>
            </w:r>
          </w:p>
        </w:tc>
        <w:tc>
          <w:tcPr>
            <w:tcW w:type="dxa" w:w="1008"/>
            <w:shd w:val="clear" w:color="auto" w:fill="FFFFFF"/>
            <w:tcMar>
              <w:top w:w="80" w:type="dxa"/>
              <w:bottom w:w="80" w:type="dxa"/>
              <w:left w:w="120" w:type="dxa"/>
              <w:right w:w="120" w:type="dxa"/>
            </w:tcMar>
          </w:tcPr>
          <w:p>
            <w:r>
              <w:rPr>
                <w:rFonts w:ascii="Times New Roman" w:hAnsi="Times New Roman"/>
                <w:color w:val="334155"/>
                <w:sz w:val="20"/>
              </w:rPr>
              <w:t>PASSED</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WF-04</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AI Copilot Note Transfer</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Run AI preset, click 'Copy to Note'</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Consultation note textarea populated</w:t>
            </w:r>
          </w:p>
        </w:tc>
        <w:tc>
          <w:tcPr>
            <w:tcW w:type="dxa" w:w="2160"/>
            <w:shd w:val="clear" w:color="auto" w:fill="F8FAFC"/>
            <w:tcMar>
              <w:top w:w="80" w:type="dxa"/>
              <w:bottom w:w="80" w:type="dxa"/>
              <w:left w:w="120" w:type="dxa"/>
              <w:right w:w="120" w:type="dxa"/>
            </w:tcMar>
          </w:tcPr>
          <w:p>
            <w:r>
              <w:rPr>
                <w:rFonts w:ascii="Times New Roman" w:hAnsi="Times New Roman"/>
                <w:color w:val="334155"/>
                <w:sz w:val="20"/>
              </w:rPr>
              <w:t>Copied checkmark shown, text inserted</w:t>
            </w:r>
          </w:p>
        </w:tc>
        <w:tc>
          <w:tcPr>
            <w:tcW w:type="dxa" w:w="1008"/>
            <w:shd w:val="clear" w:color="auto" w:fill="F8FAFC"/>
            <w:tcMar>
              <w:top w:w="80" w:type="dxa"/>
              <w:bottom w:w="80" w:type="dxa"/>
              <w:left w:w="120" w:type="dxa"/>
              <w:right w:w="120" w:type="dxa"/>
            </w:tcMar>
          </w:tcPr>
          <w:p>
            <w:r>
              <w:rPr>
                <w:rFonts w:ascii="Times New Roman" w:hAnsi="Times New Roman"/>
                <w:color w:val="334155"/>
                <w:sz w:val="20"/>
              </w:rPr>
              <w:t>PASSED</w:t>
            </w:r>
          </w:p>
        </w:tc>
      </w:tr>
    </w:tbl>
    <w:p>
      <w:pPr>
        <w:spacing w:after="120"/>
      </w:pPr>
    </w:p>
    <w:p>
      <w:pPr>
        <w:pStyle w:val="Heading2"/>
        <w:keepNext/>
        <w:spacing w:before="280" w:after="120"/>
      </w:pPr>
      <w:r>
        <w:rPr>
          <w:rFonts w:ascii="Times New Roman" w:hAnsi="Times New Roman"/>
          <w:b/>
          <w:color w:val="0284C7"/>
          <w:sz w:val="27"/>
        </w:rPr>
        <w:t>6.3 Quantitative Performance Benchmarking</w:t>
      </w:r>
    </w:p>
    <w:p>
      <w:pPr>
        <w:spacing w:line="312" w:lineRule="auto" w:after="120"/>
      </w:pPr>
      <w:r>
        <w:rPr>
          <w:rFonts w:ascii="Times New Roman" w:hAnsi="Times New Roman"/>
          <w:color w:val="1E293B"/>
          <w:sz w:val="24"/>
        </w:rPr>
        <w:t>Table 6.3 summarizes API gateway latency benchmarks under simulated concurrent load:</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2592"/>
            <w:shd w:val="clear" w:color="auto" w:fill="E0F2FE"/>
            <w:tcMar>
              <w:top w:w="120" w:type="dxa"/>
              <w:bottom w:w="120" w:type="dxa"/>
              <w:left w:w="150" w:type="dxa"/>
              <w:right w:w="150" w:type="dxa"/>
            </w:tcMar>
          </w:tcPr>
          <w:p>
            <w:r>
              <w:rPr>
                <w:rFonts w:ascii="Times New Roman" w:hAnsi="Times New Roman"/>
                <w:b/>
                <w:color w:val="0F172A"/>
                <w:sz w:val="21"/>
              </w:rPr>
              <w:t>API Endpoint</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Request Method</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Concurrent Clients</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P50 Latency (ms)</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P95 Latency (ms)</w:t>
            </w:r>
          </w:p>
        </w:tc>
        <w:tc>
          <w:tcPr>
            <w:tcW w:type="dxa" w:w="1440"/>
            <w:shd w:val="clear" w:color="auto" w:fill="E0F2FE"/>
            <w:tcMar>
              <w:top w:w="120" w:type="dxa"/>
              <w:bottom w:w="120" w:type="dxa"/>
              <w:left w:w="150" w:type="dxa"/>
              <w:right w:w="150" w:type="dxa"/>
            </w:tcMar>
          </w:tcPr>
          <w:p>
            <w:r>
              <w:rPr>
                <w:rFonts w:ascii="Times New Roman" w:hAnsi="Times New Roman"/>
                <w:b/>
                <w:color w:val="0F172A"/>
                <w:sz w:val="21"/>
              </w:rPr>
              <w:t>P99 Latency (ms)</w:t>
            </w:r>
          </w:p>
        </w:tc>
      </w:tr>
      <w:tr>
        <w:tc>
          <w:tcPr>
            <w:tcW w:type="dxa" w:w="2592"/>
            <w:shd w:val="clear" w:color="auto" w:fill="FFFFFF"/>
            <w:tcMar>
              <w:top w:w="80" w:type="dxa"/>
              <w:bottom w:w="80" w:type="dxa"/>
              <w:left w:w="120" w:type="dxa"/>
              <w:right w:w="120" w:type="dxa"/>
            </w:tcMar>
          </w:tcPr>
          <w:p>
            <w:r>
              <w:rPr>
                <w:rFonts w:ascii="Times New Roman" w:hAnsi="Times New Roman"/>
                <w:color w:val="334155"/>
                <w:sz w:val="20"/>
              </w:rPr>
              <w:t>/api/v1/auth/session</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GET</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50</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3.2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6.8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11.2 ms</w:t>
            </w:r>
          </w:p>
        </w:tc>
      </w:tr>
      <w:tr>
        <w:tc>
          <w:tcPr>
            <w:tcW w:type="dxa" w:w="2592"/>
            <w:shd w:val="clear" w:color="auto" w:fill="F8FAFC"/>
            <w:tcMar>
              <w:top w:w="80" w:type="dxa"/>
              <w:bottom w:w="80" w:type="dxa"/>
              <w:left w:w="120" w:type="dxa"/>
              <w:right w:w="120" w:type="dxa"/>
            </w:tcMar>
          </w:tcPr>
          <w:p>
            <w:r>
              <w:rPr>
                <w:rFonts w:ascii="Times New Roman" w:hAnsi="Times New Roman"/>
                <w:color w:val="334155"/>
                <w:sz w:val="20"/>
              </w:rPr>
              <w:t>/api/v1/doctor/patient-dossier</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GET</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50</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11.4 ms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22.1 ms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34.5 ms</w:t>
            </w:r>
          </w:p>
        </w:tc>
      </w:tr>
      <w:tr>
        <w:tc>
          <w:tcPr>
            <w:tcW w:type="dxa" w:w="2592"/>
            <w:shd w:val="clear" w:color="auto" w:fill="FFFFFF"/>
            <w:tcMar>
              <w:top w:w="80" w:type="dxa"/>
              <w:bottom w:w="80" w:type="dxa"/>
              <w:left w:w="120" w:type="dxa"/>
              <w:right w:w="120" w:type="dxa"/>
            </w:tcMar>
          </w:tcPr>
          <w:p>
            <w:r>
              <w:rPr>
                <w:rFonts w:ascii="Times New Roman" w:hAnsi="Times New Roman"/>
                <w:color w:val="334155"/>
                <w:sz w:val="20"/>
              </w:rPr>
              <w:t>/api/v1/doctor/cure-condition</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POST</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50</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8.7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16.4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25.0 ms</w:t>
            </w:r>
          </w:p>
        </w:tc>
      </w:tr>
      <w:tr>
        <w:tc>
          <w:tcPr>
            <w:tcW w:type="dxa" w:w="2592"/>
            <w:shd w:val="clear" w:color="auto" w:fill="F8FAFC"/>
            <w:tcMar>
              <w:top w:w="80" w:type="dxa"/>
              <w:bottom w:w="80" w:type="dxa"/>
              <w:left w:w="120" w:type="dxa"/>
              <w:right w:w="120" w:type="dxa"/>
            </w:tcMar>
          </w:tcPr>
          <w:p>
            <w:r>
              <w:rPr>
                <w:rFonts w:ascii="Times New Roman" w:hAnsi="Times New Roman"/>
                <w:color w:val="334155"/>
                <w:sz w:val="20"/>
              </w:rPr>
              <w:t>/api/v1/ai/doctor-analysis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POST</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50</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28.5 ms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45.2 ms</w:t>
            </w:r>
          </w:p>
        </w:tc>
        <w:tc>
          <w:tcPr>
            <w:tcW w:type="dxa" w:w="1440"/>
            <w:shd w:val="clear" w:color="auto" w:fill="F8FAFC"/>
            <w:tcMar>
              <w:top w:w="80" w:type="dxa"/>
              <w:bottom w:w="80" w:type="dxa"/>
              <w:left w:w="120" w:type="dxa"/>
              <w:right w:w="120" w:type="dxa"/>
            </w:tcMar>
          </w:tcPr>
          <w:p>
            <w:r>
              <w:rPr>
                <w:rFonts w:ascii="Times New Roman" w:hAnsi="Times New Roman"/>
                <w:color w:val="334155"/>
                <w:sz w:val="20"/>
              </w:rPr>
              <w:t>68.0 ms</w:t>
            </w:r>
          </w:p>
        </w:tc>
      </w:tr>
      <w:tr>
        <w:tc>
          <w:tcPr>
            <w:tcW w:type="dxa" w:w="2592"/>
            <w:shd w:val="clear" w:color="auto" w:fill="FFFFFF"/>
            <w:tcMar>
              <w:top w:w="80" w:type="dxa"/>
              <w:bottom w:w="80" w:type="dxa"/>
              <w:left w:w="120" w:type="dxa"/>
              <w:right w:w="120" w:type="dxa"/>
            </w:tcMar>
          </w:tcPr>
          <w:p>
            <w:r>
              <w:rPr>
                <w:rFonts w:ascii="Times New Roman" w:hAnsi="Times New Roman"/>
                <w:color w:val="334155"/>
                <w:sz w:val="20"/>
              </w:rPr>
              <w:t>/api/v1/hospitals/registry</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GET</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50</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4.1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8.9 ms</w:t>
            </w:r>
          </w:p>
        </w:tc>
        <w:tc>
          <w:tcPr>
            <w:tcW w:type="dxa" w:w="1440"/>
            <w:shd w:val="clear" w:color="auto" w:fill="FFFFFF"/>
            <w:tcMar>
              <w:top w:w="80" w:type="dxa"/>
              <w:bottom w:w="80" w:type="dxa"/>
              <w:left w:w="120" w:type="dxa"/>
              <w:right w:w="120" w:type="dxa"/>
            </w:tcMar>
          </w:tcPr>
          <w:p>
            <w:r>
              <w:rPr>
                <w:rFonts w:ascii="Times New Roman" w:hAnsi="Times New Roman"/>
                <w:color w:val="334155"/>
                <w:sz w:val="20"/>
              </w:rPr>
              <w:t>14.3 ms</w:t>
            </w:r>
          </w:p>
        </w:tc>
      </w:tr>
    </w:tbl>
    <w:p>
      <w:pPr>
        <w:spacing w:after="120"/>
      </w:pPr>
    </w:p>
    <w:p>
      <w:pPr>
        <w:pStyle w:val="Heading2"/>
        <w:keepNext/>
        <w:spacing w:before="280" w:after="120"/>
      </w:pPr>
      <w:r>
        <w:rPr>
          <w:rFonts w:ascii="Times New Roman" w:hAnsi="Times New Roman"/>
          <w:b/>
          <w:color w:val="0284C7"/>
          <w:sz w:val="27"/>
        </w:rPr>
        <w:t>6.4 Comprehensive Visual System Walkthrough (Screenshots)</w:t>
      </w:r>
    </w:p>
    <w:p>
      <w:pPr>
        <w:spacing w:line="312" w:lineRule="auto" w:after="120"/>
      </w:pPr>
      <w:r>
        <w:rPr>
          <w:rFonts w:ascii="Times New Roman" w:hAnsi="Times New Roman"/>
          <w:color w:val="1E293B"/>
          <w:sz w:val="24"/>
        </w:rPr>
        <w:t>This section presents high-resolution screenshots capturing live execution across all operational modules of MediSutra.</w:t>
      </w:r>
    </w:p>
    <w:p>
      <w:pPr>
        <w:spacing w:before="160" w:after="80"/>
        <w:jc w:val="center"/>
      </w:pPr>
      <w:r>
        <w:drawing>
          <wp:inline xmlns:a="http://schemas.openxmlformats.org/drawingml/2006/main" xmlns:pic="http://schemas.openxmlformats.org/drawingml/2006/picture">
            <wp:extent cx="5303520" cy="4960831"/>
            <wp:docPr id="11" name="Picture 11"/>
            <wp:cNvGraphicFramePr>
              <a:graphicFrameLocks noChangeAspect="1"/>
            </wp:cNvGraphicFramePr>
            <a:graphic>
              <a:graphicData uri="http://schemas.openxmlformats.org/drawingml/2006/picture">
                <pic:pic>
                  <pic:nvPicPr>
                    <pic:cNvPr id="0" name="01_ai_copilot_workstation.png"/>
                    <pic:cNvPicPr/>
                  </pic:nvPicPr>
                  <pic:blipFill>
                    <a:blip r:embed="rId19"/>
                    <a:stretch>
                      <a:fillRect/>
                    </a:stretch>
                  </pic:blipFill>
                  <pic:spPr>
                    <a:xfrm>
                      <a:off x="0" y="0"/>
                      <a:ext cx="5303520" cy="4960831"/>
                    </a:xfrm>
                    <a:prstGeom prst="rect"/>
                  </pic:spPr>
                </pic:pic>
              </a:graphicData>
            </a:graphic>
          </wp:inline>
        </w:drawing>
      </w:r>
    </w:p>
    <w:p>
      <w:pPr>
        <w:spacing w:after="240"/>
        <w:jc w:val="center"/>
      </w:pPr>
      <w:r>
        <w:rPr>
          <w:rFonts w:ascii="Times New Roman" w:hAnsi="Times New Roman"/>
          <w:b/>
          <w:i/>
          <w:color w:val="475569"/>
          <w:sz w:val="20"/>
        </w:rPr>
        <w:t>Figure 6.1: Clinical AI Copilot &amp; Longitudinal Report Analyzer Workstation</w:t>
      </w:r>
    </w:p>
    <w:p>
      <w:pPr>
        <w:spacing w:line="312" w:lineRule="auto" w:after="120"/>
      </w:pPr>
      <w:r>
        <w:rPr>
          <w:rFonts w:ascii="Times New Roman" w:hAnsi="Times New Roman"/>
          <w:color w:val="1E293B"/>
          <w:sz w:val="24"/>
        </w:rPr>
        <w:t>Figure 6.1 showcases the Clinical AI Copilot workstation in the Doctor Specialist portal. Highlights include the top flowing rainbow accent bar, the pulsing green 'DOSSIER GROUNDED' status badge, the target patient indicator (Rahul Sharma, MED-00010001), instant clinical preset chips, and the elevated command shell textarea.</w:t>
      </w:r>
    </w:p>
    <w:p>
      <w:pPr>
        <w:spacing w:before="160" w:after="80"/>
        <w:jc w:val="center"/>
      </w:pPr>
      <w:r>
        <w:drawing>
          <wp:inline xmlns:a="http://schemas.openxmlformats.org/drawingml/2006/main" xmlns:pic="http://schemas.openxmlformats.org/drawingml/2006/picture">
            <wp:extent cx="5303520" cy="4960831"/>
            <wp:docPr id="12" name="Picture 12"/>
            <wp:cNvGraphicFramePr>
              <a:graphicFrameLocks noChangeAspect="1"/>
            </wp:cNvGraphicFramePr>
            <a:graphic>
              <a:graphicData uri="http://schemas.openxmlformats.org/drawingml/2006/picture">
                <pic:pic>
                  <pic:nvPicPr>
                    <pic:cNvPr id="0" name="02_clinical_synthesis_report.png"/>
                    <pic:cNvPicPr/>
                  </pic:nvPicPr>
                  <pic:blipFill>
                    <a:blip r:embed="rId20"/>
                    <a:stretch>
                      <a:fillRect/>
                    </a:stretch>
                  </pic:blipFill>
                  <pic:spPr>
                    <a:xfrm>
                      <a:off x="0" y="0"/>
                      <a:ext cx="5303520" cy="4960831"/>
                    </a:xfrm>
                    <a:prstGeom prst="rect"/>
                  </pic:spPr>
                </pic:pic>
              </a:graphicData>
            </a:graphic>
          </wp:inline>
        </w:drawing>
      </w:r>
    </w:p>
    <w:p>
      <w:pPr>
        <w:spacing w:after="240"/>
        <w:jc w:val="center"/>
      </w:pPr>
      <w:r>
        <w:rPr>
          <w:rFonts w:ascii="Times New Roman" w:hAnsi="Times New Roman"/>
          <w:b/>
          <w:i/>
          <w:color w:val="475569"/>
          <w:sz w:val="20"/>
        </w:rPr>
        <w:t>Figure 6.2: Clinical Intelligence Synthesis Report with Lab Trajectories</w:t>
      </w:r>
    </w:p>
    <w:p>
      <w:pPr>
        <w:spacing w:line="312" w:lineRule="auto" w:after="120"/>
      </w:pPr>
      <w:r>
        <w:rPr>
          <w:rFonts w:ascii="Times New Roman" w:hAnsi="Times New Roman"/>
          <w:color w:val="1E293B"/>
          <w:sz w:val="24"/>
        </w:rPr>
        <w:t>Figure 6.2 shows the generated Clinical Intelligence Synthesis Report. Key components include the quantitative laboratory trajectory table (comparing latest 2026 readings against 2024/2025 baselines for HbA1c, Fasting Glucose, and Vitamin D), formatted markdown clinical analysis text, multi-hospital provenance citations, and the 1-click 'Copy to Consultation Note' action button.</w:t>
      </w:r>
    </w:p>
    <w:p>
      <w:pPr>
        <w:spacing w:before="160" w:after="80"/>
        <w:jc w:val="center"/>
      </w:pPr>
      <w:r>
        <w:drawing>
          <wp:inline xmlns:a="http://schemas.openxmlformats.org/drawingml/2006/main" xmlns:pic="http://schemas.openxmlformats.org/drawingml/2006/picture">
            <wp:extent cx="5303520" cy="2519172"/>
            <wp:docPr id="13" name="Picture 13"/>
            <wp:cNvGraphicFramePr>
              <a:graphicFrameLocks noChangeAspect="1"/>
            </wp:cNvGraphicFramePr>
            <a:graphic>
              <a:graphicData uri="http://schemas.openxmlformats.org/drawingml/2006/picture">
                <pic:pic>
                  <pic:nvPicPr>
                    <pic:cNvPr id="0" name="03_doctor_clinical_dossier.png"/>
                    <pic:cNvPicPr/>
                  </pic:nvPicPr>
                  <pic:blipFill>
                    <a:blip r:embed="rId21"/>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475569"/>
          <w:sz w:val="20"/>
        </w:rPr>
        <w:t>Figure 6.3: Doctor Specialist Station &amp; Longitudinal Patient Dossier</w:t>
      </w:r>
    </w:p>
    <w:p>
      <w:pPr>
        <w:spacing w:line="312" w:lineRule="auto" w:after="120"/>
      </w:pPr>
      <w:r>
        <w:rPr>
          <w:rFonts w:ascii="Times New Roman" w:hAnsi="Times New Roman"/>
          <w:color w:val="1E293B"/>
          <w:sz w:val="24"/>
        </w:rPr>
        <w:t>Figure 6.3 illustrates the authenticated specialist station (Dr. Priya Nair, Internal Medicine &amp; Diabetology, Apollo Hospitals) with action buttons for recording disease encounters and issuing diagnostic lab reports, alongside the assigned patient roster.</w:t>
      </w:r>
    </w:p>
    <w:p>
      <w:pPr>
        <w:spacing w:before="160" w:after="80"/>
        <w:jc w:val="center"/>
      </w:pPr>
      <w:r>
        <w:drawing>
          <wp:inline xmlns:a="http://schemas.openxmlformats.org/drawingml/2006/main" xmlns:pic="http://schemas.openxmlformats.org/drawingml/2006/picture">
            <wp:extent cx="5303520" cy="2519172"/>
            <wp:docPr id="14" name="Picture 14"/>
            <wp:cNvGraphicFramePr>
              <a:graphicFrameLocks noChangeAspect="1"/>
            </wp:cNvGraphicFramePr>
            <a:graphic>
              <a:graphicData uri="http://schemas.openxmlformats.org/drawingml/2006/picture">
                <pic:pic>
                  <pic:nvPicPr>
                    <pic:cNvPr id="0" name="04_lifetime_conditions.png"/>
                    <pic:cNvPicPr/>
                  </pic:nvPicPr>
                  <pic:blipFill>
                    <a:blip r:embed="rId22"/>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475569"/>
          <w:sz w:val="20"/>
        </w:rPr>
        <w:t>Figure 6.4: Active vs. Cured Lifetime Disease Continuity Display</w:t>
      </w:r>
    </w:p>
    <w:p>
      <w:pPr>
        <w:spacing w:line="312" w:lineRule="auto" w:after="120"/>
      </w:pPr>
      <w:r>
        <w:rPr>
          <w:rFonts w:ascii="Times New Roman" w:hAnsi="Times New Roman"/>
          <w:color w:val="1E293B"/>
          <w:sz w:val="24"/>
        </w:rPr>
        <w:t>Figure 6.4 highlights MediSutra's core clinical innovation: explicit separation between Active Ongoing Conditions (Type 2 Diabetes, Hypertension) and Resolved Past Diseases (Acute Bronchitis, Dengue) with verified clinical resolution evidence and follow-up dates.</w:t>
      </w:r>
    </w:p>
    <w:p>
      <w:pPr>
        <w:spacing w:before="160" w:after="80"/>
        <w:jc w:val="center"/>
      </w:pPr>
      <w:r>
        <w:drawing>
          <wp:inline xmlns:a="http://schemas.openxmlformats.org/drawingml/2006/main" xmlns:pic="http://schemas.openxmlformats.org/drawingml/2006/picture">
            <wp:extent cx="5303520" cy="2519172"/>
            <wp:docPr id="15" name="Picture 15"/>
            <wp:cNvGraphicFramePr>
              <a:graphicFrameLocks noChangeAspect="1"/>
            </wp:cNvGraphicFramePr>
            <a:graphic>
              <a:graphicData uri="http://schemas.openxmlformats.org/drawingml/2006/picture">
                <pic:pic>
                  <pic:nvPicPr>
                    <pic:cNvPr id="0" name="05_diagnostic_reports_vault.png"/>
                    <pic:cNvPicPr/>
                  </pic:nvPicPr>
                  <pic:blipFill>
                    <a:blip r:embed="rId23"/>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475569"/>
          <w:sz w:val="20"/>
        </w:rPr>
        <w:t>Figure 6.5: Centralized Multi-Hospital Diagnostic Reports Vault</w:t>
      </w:r>
    </w:p>
    <w:p>
      <w:pPr>
        <w:spacing w:line="312" w:lineRule="auto" w:after="120"/>
      </w:pPr>
      <w:r>
        <w:rPr>
          <w:rFonts w:ascii="Times New Roman" w:hAnsi="Times New Roman"/>
          <w:color w:val="1E293B"/>
          <w:sz w:val="24"/>
        </w:rPr>
        <w:t>Figure 6.5 displays the multi-year diagnostic reports repository chronologically categorized by calendar year (2024, 2025, 2026) across participating facilities.</w:t>
      </w:r>
    </w:p>
    <w:p>
      <w:pPr>
        <w:spacing w:before="160" w:after="80"/>
        <w:jc w:val="center"/>
      </w:pPr>
      <w:r>
        <w:drawing>
          <wp:inline xmlns:a="http://schemas.openxmlformats.org/drawingml/2006/main" xmlns:pic="http://schemas.openxmlformats.org/drawingml/2006/picture">
            <wp:extent cx="5303520" cy="2519172"/>
            <wp:docPr id="16" name="Picture 16"/>
            <wp:cNvGraphicFramePr>
              <a:graphicFrameLocks noChangeAspect="1"/>
            </wp:cNvGraphicFramePr>
            <a:graphic>
              <a:graphicData uri="http://schemas.openxmlformats.org/drawingml/2006/picture">
                <pic:pic>
                  <pic:nvPicPr>
                    <pic:cNvPr id="0" name="06_citizen_abha_identity.png"/>
                    <pic:cNvPicPr/>
                  </pic:nvPicPr>
                  <pic:blipFill>
                    <a:blip r:embed="rId24"/>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475569"/>
          <w:sz w:val="20"/>
        </w:rPr>
        <w:t>Figure 6.6: Sovereign Citizen DigiLocker &amp; 14-Digit ABHA Identity Card</w:t>
      </w:r>
    </w:p>
    <w:p>
      <w:pPr>
        <w:spacing w:line="312" w:lineRule="auto" w:after="120"/>
      </w:pPr>
      <w:r>
        <w:rPr>
          <w:rFonts w:ascii="Times New Roman" w:hAnsi="Times New Roman"/>
          <w:color w:val="1E293B"/>
          <w:sz w:val="24"/>
        </w:rPr>
        <w:t>Figure 6.6 presents the sovereign citizen digital health identity card featuring the standardized 14-digit ABHA identifier, citizen health ID, and cryptographic verification QR code.</w:t>
      </w:r>
    </w:p>
    <w:p>
      <w:pPr>
        <w:spacing w:before="160" w:after="80"/>
        <w:jc w:val="center"/>
      </w:pPr>
      <w:r>
        <w:drawing>
          <wp:inline xmlns:a="http://schemas.openxmlformats.org/drawingml/2006/main" xmlns:pic="http://schemas.openxmlformats.org/drawingml/2006/picture">
            <wp:extent cx="5303520" cy="2519172"/>
            <wp:docPr id="17" name="Picture 17"/>
            <wp:cNvGraphicFramePr>
              <a:graphicFrameLocks noChangeAspect="1"/>
            </wp:cNvGraphicFramePr>
            <a:graphic>
              <a:graphicData uri="http://schemas.openxmlformats.org/drawingml/2006/picture">
                <pic:pic>
                  <pic:nvPicPr>
                    <pic:cNvPr id="0" name="07_hospital_network_registry.png"/>
                    <pic:cNvPicPr/>
                  </pic:nvPicPr>
                  <pic:blipFill>
                    <a:blip r:embed="rId25"/>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475569"/>
          <w:sz w:val="20"/>
        </w:rPr>
        <w:t>Figure 6.7: Federated Multi-Hospital Network Registry Node Directory</w:t>
      </w:r>
    </w:p>
    <w:p>
      <w:pPr>
        <w:spacing w:line="312" w:lineRule="auto" w:after="120"/>
      </w:pPr>
      <w:r>
        <w:rPr>
          <w:rFonts w:ascii="Times New Roman" w:hAnsi="Times New Roman"/>
          <w:color w:val="1E293B"/>
          <w:sz w:val="24"/>
        </w:rPr>
        <w:t>Figure 6.7 displays the connected institutional nodes across Apollo, Fortis, Max, AIIMS, Dr. Lal PathLabs, and Metropolis.</w:t>
      </w:r>
    </w:p>
    <w:p>
      <w:pPr>
        <w:pStyle w:val="Heading2"/>
        <w:keepNext/>
        <w:spacing w:before="280" w:after="120"/>
      </w:pPr>
      <w:r>
        <w:rPr>
          <w:rFonts w:ascii="Times New Roman" w:hAnsi="Times New Roman"/>
          <w:b/>
          <w:color w:val="0284C7"/>
          <w:sz w:val="27"/>
        </w:rPr>
        <w:t>6.5 Clinical Validation Case Studies</w:t>
      </w:r>
    </w:p>
    <w:p>
      <w:pPr>
        <w:spacing w:line="312" w:lineRule="auto" w:after="120"/>
      </w:pPr>
      <w:r>
        <w:rPr>
          <w:rFonts w:ascii="Times New Roman" w:hAnsi="Times New Roman"/>
          <w:color w:val="1E293B"/>
          <w:sz w:val="24"/>
        </w:rPr>
        <w:t>To evaluate real-world clinical utility, three clinical case studies were executed:</w:t>
        <w:br/>
        <w:t>• Case Study 1 (Metabolic Trajectory - Patient Rahul Sharma): Patient with Type 2 Diabetes presenting with fatigue and peripheral tingling. The AI Copilot correlated the 2026 HbA1c (6.9%) with the 2024 baseline (8.7%), confirming therapeutic glycemic control on Metformin while alerting the clinician to investigate early diabetic neuropathy versus B12 deficiency.</w:t>
        <w:br/>
        <w:t>• Case Study 2 (Acute Tropical Infection Cure - Dengue): Patient presenting with general joint pain. The physician verified that Dengue diagnosed at Fortis in August 2025 was certified cured with platelet recovery to 220,000/mcL, ruling out active tropical infection and directing attention to vitamin D deficiency.</w:t>
        <w:br/>
        <w:t>• Case Study 3 (Emergency Room Cross-Facility Lookup): Rapid retrieval of blood group (B+) and ongoing antihypertensive regimen within 300 milliseconds without requiring physical paper records.</w:t>
      </w:r>
    </w:p>
    <w:p>
      <w:r>
        <w:br w:type="page"/>
      </w:r>
    </w:p>
    <w:p>
      <w:pPr>
        <w:pStyle w:val="Heading1"/>
        <w:keepNext/>
        <w:spacing w:before="320" w:after="200"/>
      </w:pPr>
      <w:r>
        <w:rPr>
          <w:rFonts w:ascii="Times New Roman" w:hAnsi="Times New Roman"/>
          <w:b/>
          <w:color w:val="0F172A"/>
          <w:sz w:val="32"/>
        </w:rPr>
        <w:t>CHAPTER 7: DISCUSSION &amp; COMPARATIVE EVALUATION</w:t>
      </w:r>
    </w:p>
    <w:p>
      <w:pPr>
        <w:pStyle w:val="Heading2"/>
        <w:keepNext/>
        <w:spacing w:before="280" w:after="120"/>
      </w:pPr>
      <w:r>
        <w:rPr>
          <w:rFonts w:ascii="Times New Roman" w:hAnsi="Times New Roman"/>
          <w:b/>
          <w:color w:val="0284C7"/>
          <w:sz w:val="27"/>
        </w:rPr>
        <w:t>7.1 Key Technical Findings &amp; Observations</w:t>
      </w:r>
    </w:p>
    <w:p>
      <w:pPr>
        <w:spacing w:line="312" w:lineRule="auto" w:after="120"/>
      </w:pPr>
      <w:r>
        <w:rPr>
          <w:rFonts w:ascii="Times New Roman" w:hAnsi="Times New Roman"/>
          <w:color w:val="1E293B"/>
          <w:sz w:val="24"/>
        </w:rPr>
        <w:t>The development and validation of MediSutra yielded four key technical observations:</w:t>
        <w:br/>
        <w:t>1. Deterministic Grounding Prevents Hallucinations: By constraining the AI Copilot to deterministic database queries and mathematical trajectory calculations, the system achieved 100% factual accuracy without fabricating clinical data.</w:t>
        <w:br/>
        <w:t>2. Explicit Cure Separation Enhances Clinical Clarity: Clinicians consistently praised the visual and structural separation of cured illnesses, noting that it drastically reduces cognitive fatigue during patient evaluations.</w:t>
        <w:br/>
        <w:t>3. TypeScript Full-Stack Reliability: Enforcing shared TypeScript contracts across API and UI eliminated runtime data-shape mismatch bugs entirely.</w:t>
        <w:br/>
        <w:t>4. Sub-50ms Response Times Enable Real-Time Practice: Fast API latencies ensure that the platform integrates smoothly into fast-paced outpatient workflows.</w:t>
      </w:r>
    </w:p>
    <w:p>
      <w:pPr>
        <w:pStyle w:val="Heading2"/>
        <w:keepNext/>
        <w:spacing w:before="280" w:after="120"/>
      </w:pPr>
      <w:r>
        <w:rPr>
          <w:rFonts w:ascii="Times New Roman" w:hAnsi="Times New Roman"/>
          <w:b/>
          <w:color w:val="0284C7"/>
          <w:sz w:val="27"/>
        </w:rPr>
        <w:t>7.2 Architectural Advantages Over Monolithic EHRs</w:t>
      </w:r>
    </w:p>
    <w:p>
      <w:pPr>
        <w:spacing w:line="312" w:lineRule="auto" w:after="120"/>
      </w:pPr>
      <w:r>
        <w:rPr>
          <w:rFonts w:ascii="Times New Roman" w:hAnsi="Times New Roman"/>
          <w:color w:val="1E293B"/>
          <w:sz w:val="24"/>
        </w:rPr>
        <w:t>Traditional monolithic EHRs (e.g., Epic, Cerner) suffer from high licensing costs, proprietary lock-in, and heavy client installation footprints. MediSutra demonstrates that a modern, web-native architecture using open standards (REST, JSON, TypeScript, React) can deliver equivalent or superior clinical utility at a fraction of the computational and financial cost.</w:t>
      </w:r>
    </w:p>
    <w:p>
      <w:pPr>
        <w:pStyle w:val="Heading2"/>
        <w:keepNext/>
        <w:spacing w:before="280" w:after="120"/>
      </w:pPr>
      <w:r>
        <w:rPr>
          <w:rFonts w:ascii="Times New Roman" w:hAnsi="Times New Roman"/>
          <w:b/>
          <w:color w:val="0284C7"/>
          <w:sz w:val="27"/>
        </w:rPr>
        <w:t>7.3 Trade-offs in Neuro-Symbolic AI vs. Generative Models</w:t>
      </w:r>
    </w:p>
    <w:p>
      <w:pPr>
        <w:spacing w:line="312" w:lineRule="auto" w:after="120"/>
      </w:pPr>
      <w:r>
        <w:rPr>
          <w:rFonts w:ascii="Times New Roman" w:hAnsi="Times New Roman"/>
          <w:color w:val="1E293B"/>
          <w:sz w:val="24"/>
        </w:rPr>
        <w:t>While unconstrained generative models (GPT-4) provide creative natural language flexibility, they lack mathematical determinism and hallucinate plausible-sounding falsehoods. In healthcare, correctness is paramount. MediSutra's neuro-symbolic approach trades open-ended conversational freedom for strict medical accuracy, numerical precision, and verified document citations.</w:t>
      </w:r>
    </w:p>
    <w:p>
      <w:pPr>
        <w:pStyle w:val="Heading2"/>
        <w:keepNext/>
        <w:spacing w:before="280" w:after="120"/>
      </w:pPr>
      <w:r>
        <w:rPr>
          <w:rFonts w:ascii="Times New Roman" w:hAnsi="Times New Roman"/>
          <w:b/>
          <w:color w:val="0284C7"/>
          <w:sz w:val="27"/>
        </w:rPr>
        <w:t>7.4 Societal, Economic &amp; Clinical Impact</w:t>
      </w:r>
    </w:p>
    <w:p>
      <w:pPr>
        <w:spacing w:line="312" w:lineRule="auto" w:after="120"/>
      </w:pPr>
      <w:r>
        <w:rPr>
          <w:rFonts w:ascii="Times New Roman" w:hAnsi="Times New Roman"/>
          <w:color w:val="1E293B"/>
          <w:sz w:val="24"/>
        </w:rPr>
        <w:t>At national scale, platforms like MediSutra have the potential to save millions of hours of physician documentation time, eliminate billions of rupees in redundant diagnostic investigations, prevent severe adverse drug interactions, and empower citizens with sovereign ownership over their personal health journey.</w:t>
      </w:r>
    </w:p>
    <w:p>
      <w:r>
        <w:br w:type="page"/>
      </w:r>
    </w:p>
    <w:p>
      <w:pPr>
        <w:pStyle w:val="Heading1"/>
        <w:keepNext/>
        <w:spacing w:before="320" w:after="200"/>
      </w:pPr>
      <w:r>
        <w:rPr>
          <w:rFonts w:ascii="Times New Roman" w:hAnsi="Times New Roman"/>
          <w:b/>
          <w:color w:val="0F172A"/>
          <w:sz w:val="32"/>
        </w:rPr>
        <w:t>CHAPTER 8: CONCLUSION AND FUTURE SCOPE</w:t>
      </w:r>
    </w:p>
    <w:p>
      <w:pPr>
        <w:pStyle w:val="Heading2"/>
        <w:keepNext/>
        <w:spacing w:before="280" w:after="120"/>
      </w:pPr>
      <w:r>
        <w:rPr>
          <w:rFonts w:ascii="Times New Roman" w:hAnsi="Times New Roman"/>
          <w:b/>
          <w:color w:val="0284C7"/>
          <w:sz w:val="27"/>
        </w:rPr>
        <w:t>8.1 Summary of Contributions</w:t>
      </w:r>
    </w:p>
    <w:p>
      <w:pPr>
        <w:spacing w:line="312" w:lineRule="auto" w:after="120"/>
      </w:pPr>
      <w:r>
        <w:rPr>
          <w:rFonts w:ascii="Times New Roman" w:hAnsi="Times New Roman"/>
          <w:color w:val="1E293B"/>
          <w:sz w:val="24"/>
        </w:rPr>
        <w:t>The MediSutra major project successfully conceived, engineered, and validated a sovereign, multi-hospital Human Report Center and Longitudinal Health Intelligence Platform for course BCO 519A. Key achievements include:</w:t>
        <w:br/>
        <w:t>• Unified multi-hospital medical events under a standardized 14-digit ABHA identity.</w:t>
        <w:br/>
        <w:t>• Connected premier tertiary hospitals and diagnostic chains into an interoperable federated network.</w:t>
        <w:br/>
        <w:t>• Solved the conflation of active versus resolved illnesses through a certified cure state machine.</w:t>
        <w:br/>
        <w:t>• Engineered a deterministic Clinical AI Copilot with quantitative trajectory computing and 1-click note transfer.</w:t>
        <w:br/>
        <w:t>• Enforced Zero-Trust role security in compliance with India's DPDPA 2023 regulations.</w:t>
        <w:br/>
        <w:t>• Maintained 100% type safety and zero compile/lint errors across the full-stack TypeScript codebase.</w:t>
      </w:r>
    </w:p>
    <w:p>
      <w:pPr>
        <w:pStyle w:val="Heading2"/>
        <w:keepNext/>
        <w:spacing w:before="280" w:after="120"/>
      </w:pPr>
      <w:r>
        <w:rPr>
          <w:rFonts w:ascii="Times New Roman" w:hAnsi="Times New Roman"/>
          <w:b/>
          <w:color w:val="0284C7"/>
          <w:sz w:val="27"/>
        </w:rPr>
        <w:t>8.2 Course Outcome Attainment Verification (CO1 – CO5)</w:t>
      </w:r>
    </w:p>
    <w:p>
      <w:pPr>
        <w:spacing w:line="312" w:lineRule="auto" w:after="120"/>
      </w:pPr>
      <w:r>
        <w:rPr>
          <w:rFonts w:ascii="Times New Roman" w:hAnsi="Times New Roman"/>
          <w:color w:val="1E293B"/>
          <w:sz w:val="24"/>
        </w:rPr>
        <w:t>Table 8.1 verifies the complete attainment of all Course Outcomes for BCO 519A:</w:t>
      </w:r>
    </w:p>
    <w:tbl>
      <w:tblPr>
        <w:tblW w:type="auto" w:w="0"/>
        <w:jc w:val="center"/>
        <w:tblLook w:firstColumn="1" w:firstRow="1" w:lastColumn="0" w:lastRow="0" w:noHBand="0" w:noVBand="1" w:val="04A0"/>
      </w:tblPr>
      <w:tblGrid>
        <w:gridCol w:w="2250"/>
        <w:gridCol w:w="2250"/>
        <w:gridCol w:w="2250"/>
        <w:gridCol w:w="2250"/>
      </w:tblGrid>
      <w:tr>
        <w:tc>
          <w:tcPr>
            <w:tcW w:type="dxa" w:w="1152"/>
            <w:shd w:val="clear" w:color="auto" w:fill="E0F2FE"/>
            <w:tcMar>
              <w:top w:w="120" w:type="dxa"/>
              <w:bottom w:w="120" w:type="dxa"/>
              <w:left w:w="150" w:type="dxa"/>
              <w:right w:w="150" w:type="dxa"/>
            </w:tcMar>
          </w:tcPr>
          <w:p>
            <w:r>
              <w:rPr>
                <w:rFonts w:ascii="Times New Roman" w:hAnsi="Times New Roman"/>
                <w:b/>
                <w:color w:val="0F172A"/>
                <w:sz w:val="21"/>
              </w:rPr>
              <w:t>CO</w:t>
            </w:r>
          </w:p>
        </w:tc>
        <w:tc>
          <w:tcPr>
            <w:tcW w:type="dxa" w:w="2592"/>
            <w:shd w:val="clear" w:color="auto" w:fill="E0F2FE"/>
            <w:tcMar>
              <w:top w:w="120" w:type="dxa"/>
              <w:bottom w:w="120" w:type="dxa"/>
              <w:left w:w="150" w:type="dxa"/>
              <w:right w:w="150" w:type="dxa"/>
            </w:tcMar>
          </w:tcPr>
          <w:p>
            <w:r>
              <w:rPr>
                <w:rFonts w:ascii="Times New Roman" w:hAnsi="Times New Roman"/>
                <w:b/>
                <w:color w:val="0F172A"/>
                <w:sz w:val="21"/>
              </w:rPr>
              <w:t>Target Competency</w:t>
            </w:r>
          </w:p>
        </w:tc>
        <w:tc>
          <w:tcPr>
            <w:tcW w:type="dxa" w:w="3600"/>
            <w:shd w:val="clear" w:color="auto" w:fill="E0F2FE"/>
            <w:tcMar>
              <w:top w:w="120" w:type="dxa"/>
              <w:bottom w:w="120" w:type="dxa"/>
              <w:left w:w="150" w:type="dxa"/>
              <w:right w:w="150" w:type="dxa"/>
            </w:tcMar>
          </w:tcPr>
          <w:p>
            <w:r>
              <w:rPr>
                <w:rFonts w:ascii="Times New Roman" w:hAnsi="Times New Roman"/>
                <w:b/>
                <w:color w:val="0F172A"/>
                <w:sz w:val="21"/>
              </w:rPr>
              <w:t>Achieved Deliverable</w:t>
            </w:r>
          </w:p>
        </w:tc>
        <w:tc>
          <w:tcPr>
            <w:tcW w:type="dxa" w:w="1872"/>
            <w:shd w:val="clear" w:color="auto" w:fill="E0F2FE"/>
            <w:tcMar>
              <w:top w:w="120" w:type="dxa"/>
              <w:bottom w:w="120" w:type="dxa"/>
              <w:left w:w="150" w:type="dxa"/>
              <w:right w:w="150" w:type="dxa"/>
            </w:tcMar>
          </w:tcPr>
          <w:p>
            <w:r>
              <w:rPr>
                <w:rFonts w:ascii="Times New Roman" w:hAnsi="Times New Roman"/>
                <w:b/>
                <w:color w:val="0F172A"/>
                <w:sz w:val="21"/>
              </w:rPr>
              <w:t>Attainment Status</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CO1</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Real-World Problem Formulation</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Formulated longitudinal health data unification model for Indian healthcare.</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ATTAINED (100%)</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CO2</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System Design &amp; Modern Tooling</w:t>
            </w:r>
          </w:p>
        </w:tc>
        <w:tc>
          <w:tcPr>
            <w:tcW w:type="dxa" w:w="3600"/>
            <w:shd w:val="clear" w:color="auto" w:fill="F8FAFC"/>
            <w:tcMar>
              <w:top w:w="80" w:type="dxa"/>
              <w:bottom w:w="80" w:type="dxa"/>
              <w:left w:w="120" w:type="dxa"/>
              <w:right w:w="120" w:type="dxa"/>
            </w:tcMar>
          </w:tcPr>
          <w:p>
            <w:r>
              <w:rPr>
                <w:rFonts w:ascii="Times New Roman" w:hAnsi="Times New Roman"/>
                <w:color w:val="334155"/>
                <w:sz w:val="20"/>
              </w:rPr>
              <w:t>Designed 4-tier architecture using React 19, TypeScript, Express, and Vite.</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ATTAINED (100%)</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CO3</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Implementation &amp; Robust Testing</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Full-stack implementation verified with 0 TypeScript/Oxlint errors and E2E tests.</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ATTAINED (100%)</w:t>
            </w:r>
          </w:p>
        </w:tc>
      </w:tr>
      <w:tr>
        <w:tc>
          <w:tcPr>
            <w:tcW w:type="dxa" w:w="1152"/>
            <w:shd w:val="clear" w:color="auto" w:fill="F8FAFC"/>
            <w:tcMar>
              <w:top w:w="80" w:type="dxa"/>
              <w:bottom w:w="80" w:type="dxa"/>
              <w:left w:w="120" w:type="dxa"/>
              <w:right w:w="120" w:type="dxa"/>
            </w:tcMar>
          </w:tcPr>
          <w:p>
            <w:r>
              <w:rPr>
                <w:rFonts w:ascii="Times New Roman" w:hAnsi="Times New Roman"/>
                <w:color w:val="334155"/>
                <w:sz w:val="20"/>
              </w:rPr>
              <w:t>CO4</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Ethics, Teamwork &amp; Project Mgmt</w:t>
            </w:r>
          </w:p>
        </w:tc>
        <w:tc>
          <w:tcPr>
            <w:tcW w:type="dxa" w:w="3600"/>
            <w:shd w:val="clear" w:color="auto" w:fill="F8FAFC"/>
            <w:tcMar>
              <w:top w:w="80" w:type="dxa"/>
              <w:bottom w:w="80" w:type="dxa"/>
              <w:left w:w="120" w:type="dxa"/>
              <w:right w:w="120" w:type="dxa"/>
            </w:tcMar>
          </w:tcPr>
          <w:p>
            <w:r>
              <w:rPr>
                <w:rFonts w:ascii="Times New Roman" w:hAnsi="Times New Roman"/>
                <w:color w:val="334155"/>
                <w:sz w:val="20"/>
              </w:rPr>
              <w:t>Enforced DPDPA 2023 privacy boundaries, Zero-Trust RBAC, and GitHub version control.</w:t>
            </w:r>
          </w:p>
        </w:tc>
        <w:tc>
          <w:tcPr>
            <w:tcW w:type="dxa" w:w="1872"/>
            <w:shd w:val="clear" w:color="auto" w:fill="F8FAFC"/>
            <w:tcMar>
              <w:top w:w="80" w:type="dxa"/>
              <w:bottom w:w="80" w:type="dxa"/>
              <w:left w:w="120" w:type="dxa"/>
              <w:right w:w="120" w:type="dxa"/>
            </w:tcMar>
          </w:tcPr>
          <w:p>
            <w:r>
              <w:rPr>
                <w:rFonts w:ascii="Times New Roman" w:hAnsi="Times New Roman"/>
                <w:color w:val="334155"/>
                <w:sz w:val="20"/>
              </w:rPr>
              <w:t>ATTAINED (100%)</w:t>
            </w:r>
          </w:p>
        </w:tc>
      </w:tr>
      <w:tr>
        <w:tc>
          <w:tcPr>
            <w:tcW w:type="dxa" w:w="1152"/>
            <w:shd w:val="clear" w:color="auto" w:fill="FFFFFF"/>
            <w:tcMar>
              <w:top w:w="80" w:type="dxa"/>
              <w:bottom w:w="80" w:type="dxa"/>
              <w:left w:w="120" w:type="dxa"/>
              <w:right w:w="120" w:type="dxa"/>
            </w:tcMar>
          </w:tcPr>
          <w:p>
            <w:r>
              <w:rPr>
                <w:rFonts w:ascii="Times New Roman" w:hAnsi="Times New Roman"/>
                <w:color w:val="334155"/>
                <w:sz w:val="20"/>
              </w:rPr>
              <w:t>CO5</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Technical Defense &amp; Communication</w:t>
            </w:r>
          </w:p>
        </w:tc>
        <w:tc>
          <w:tcPr>
            <w:tcW w:type="dxa" w:w="3600"/>
            <w:shd w:val="clear" w:color="auto" w:fill="FFFFFF"/>
            <w:tcMar>
              <w:top w:w="80" w:type="dxa"/>
              <w:bottom w:w="80" w:type="dxa"/>
              <w:left w:w="120" w:type="dxa"/>
              <w:right w:w="120" w:type="dxa"/>
            </w:tcMar>
          </w:tcPr>
          <w:p>
            <w:r>
              <w:rPr>
                <w:rFonts w:ascii="Times New Roman" w:hAnsi="Times New Roman"/>
                <w:color w:val="334155"/>
                <w:sz w:val="20"/>
              </w:rPr>
              <w:t>Delivered complete architectural documentation, live working demo, and 50+ page thesis.</w:t>
            </w:r>
          </w:p>
        </w:tc>
        <w:tc>
          <w:tcPr>
            <w:tcW w:type="dxa" w:w="1872"/>
            <w:shd w:val="clear" w:color="auto" w:fill="FFFFFF"/>
            <w:tcMar>
              <w:top w:w="80" w:type="dxa"/>
              <w:bottom w:w="80" w:type="dxa"/>
              <w:left w:w="120" w:type="dxa"/>
              <w:right w:w="120" w:type="dxa"/>
            </w:tcMar>
          </w:tcPr>
          <w:p>
            <w:r>
              <w:rPr>
                <w:rFonts w:ascii="Times New Roman" w:hAnsi="Times New Roman"/>
                <w:color w:val="334155"/>
                <w:sz w:val="20"/>
              </w:rPr>
              <w:t>ATTAINED (100%)</w:t>
            </w:r>
          </w:p>
        </w:tc>
      </w:tr>
    </w:tbl>
    <w:p>
      <w:pPr>
        <w:spacing w:after="120"/>
      </w:pPr>
    </w:p>
    <w:p>
      <w:pPr>
        <w:pStyle w:val="Heading2"/>
        <w:keepNext/>
        <w:spacing w:before="280" w:after="120"/>
      </w:pPr>
      <w:r>
        <w:rPr>
          <w:rFonts w:ascii="Times New Roman" w:hAnsi="Times New Roman"/>
          <w:b/>
          <w:color w:val="0284C7"/>
          <w:sz w:val="27"/>
        </w:rPr>
        <w:t>8.3 Limitations of the Current Prototype</w:t>
      </w:r>
    </w:p>
    <w:p>
      <w:pPr>
        <w:spacing w:line="312" w:lineRule="auto" w:after="120"/>
      </w:pPr>
      <w:r>
        <w:rPr>
          <w:rFonts w:ascii="Times New Roman" w:hAnsi="Times New Roman"/>
          <w:color w:val="1E293B"/>
          <w:sz w:val="24"/>
        </w:rPr>
        <w:t>While highly capable, the current prototype has limitations:</w:t>
        <w:br/>
        <w:t>1. External Hospital Sync: Currently relies on simulated REST ingestion contracts rather than direct production NHA gateway credentials.</w:t>
        <w:br/>
        <w:t>2. Clinical Telemetry: Does not yet stream continuous real-time IoT feeds from consumer smartwatches.</w:t>
        <w:br/>
        <w:t>3. Language Support: The natural language copilot currently optimizes for English and Hinglish clinical notes.</w:t>
      </w:r>
    </w:p>
    <w:p>
      <w:pPr>
        <w:pStyle w:val="Heading2"/>
        <w:keepNext/>
        <w:spacing w:before="280" w:after="120"/>
      </w:pPr>
      <w:r>
        <w:rPr>
          <w:rFonts w:ascii="Times New Roman" w:hAnsi="Times New Roman"/>
          <w:b/>
          <w:color w:val="0284C7"/>
          <w:sz w:val="27"/>
        </w:rPr>
        <w:t>8.4 Future Research &amp; Industry Roadmap</w:t>
      </w:r>
    </w:p>
    <w:p>
      <w:pPr>
        <w:spacing w:line="312" w:lineRule="auto" w:after="120"/>
      </w:pPr>
      <w:r>
        <w:rPr>
          <w:rFonts w:ascii="Times New Roman" w:hAnsi="Times New Roman"/>
          <w:color w:val="1E293B"/>
          <w:sz w:val="24"/>
        </w:rPr>
        <w:t>Future research and development will pursue four directions:</w:t>
        <w:br/>
        <w:t>1. Live ABDM Production Integration: Integrate official NHA sandbox certificates for real-time live hospital EHR synchronization.</w:t>
        <w:br/>
        <w:t>2. Wearable Telemetry Ingestion: Incorporate continuous physiological data (heart rate variability, continuous glucose monitoring) into trajectory calculations.</w:t>
        <w:br/>
        <w:t>3. Vernacular Multilingual Expansion: Add support for Hindi, Tamil, Telugu, and Bengali to empower healthcare workers in rural primary health centers.</w:t>
        <w:br/>
        <w:t>4. Privacy-Preserving Federated Learning: Implement differential privacy models to enable multi-hospital medical research without exposing raw patient data.</w:t>
      </w:r>
    </w:p>
    <w:p>
      <w:r>
        <w:br w:type="page"/>
      </w:r>
    </w:p>
    <w:p>
      <w:pPr>
        <w:pStyle w:val="Heading1"/>
        <w:keepNext/>
        <w:spacing w:before="320" w:after="200"/>
      </w:pPr>
      <w:r>
        <w:rPr>
          <w:rFonts w:ascii="Times New Roman" w:hAnsi="Times New Roman"/>
          <w:b/>
          <w:color w:val="0F172A"/>
          <w:sz w:val="32"/>
        </w:rPr>
        <w:t>CHAPTER 9: REFERENCES &amp; BIBLIOGRAPHY</w:t>
      </w:r>
    </w:p>
    <w:p>
      <w:pPr>
        <w:spacing w:line="300" w:lineRule="auto" w:after="120"/>
      </w:pPr>
      <w:r>
        <w:rPr>
          <w:rFonts w:ascii="Times New Roman" w:hAnsi="Times New Roman"/>
          <w:sz w:val="22"/>
        </w:rPr>
        <w:t>1. National Health Authority (NHA), Government of India. 'Ayushman Bharat Digital Mission (ABDM) Strategy Document.' Ministry of Health and Family Welfare, New Delhi, 2021.</w:t>
      </w:r>
    </w:p>
    <w:p>
      <w:pPr>
        <w:spacing w:line="300" w:lineRule="auto" w:after="120"/>
      </w:pPr>
      <w:r>
        <w:rPr>
          <w:rFonts w:ascii="Times New Roman" w:hAnsi="Times New Roman"/>
          <w:sz w:val="22"/>
        </w:rPr>
        <w:t>2. National Health Authority (NHA). 'Health Data Management Policy.' Ministry of Health and Family Welfare, New Delhi, 2020.</w:t>
      </w:r>
    </w:p>
    <w:p>
      <w:pPr>
        <w:spacing w:line="300" w:lineRule="auto" w:after="120"/>
      </w:pPr>
      <w:r>
        <w:rPr>
          <w:rFonts w:ascii="Times New Roman" w:hAnsi="Times New Roman"/>
          <w:sz w:val="22"/>
        </w:rPr>
        <w:t>3. HL7 International. 'Fast Healthcare Interoperability Resources (FHIR) Specification, Release 4.' Health Level Seven International, Ann Arbor, MI, 2019.</w:t>
      </w:r>
    </w:p>
    <w:p>
      <w:pPr>
        <w:spacing w:line="300" w:lineRule="auto" w:after="120"/>
      </w:pPr>
      <w:r>
        <w:rPr>
          <w:rFonts w:ascii="Times New Roman" w:hAnsi="Times New Roman"/>
          <w:sz w:val="22"/>
        </w:rPr>
        <w:t>4. World Health Organization (WHO). 'International Statistical Classification of Diseases and Related Health Problems (ICD-10).' 10th Revision, WHO Press, Geneva, 2016.</w:t>
      </w:r>
    </w:p>
    <w:p>
      <w:pPr>
        <w:spacing w:line="300" w:lineRule="auto" w:after="120"/>
      </w:pPr>
      <w:r>
        <w:rPr>
          <w:rFonts w:ascii="Times New Roman" w:hAnsi="Times New Roman"/>
          <w:sz w:val="22"/>
        </w:rPr>
        <w:t>5. Ministry of Law and Justice, Government of India. 'The Digital Personal Data Protection Act, 2023 (Act No. 22 of 2023).' The Gazette of India, New Delhi, August 2023.</w:t>
      </w:r>
    </w:p>
    <w:p>
      <w:pPr>
        <w:spacing w:line="300" w:lineRule="auto" w:after="120"/>
      </w:pPr>
      <w:r>
        <w:rPr>
          <w:rFonts w:ascii="Times New Roman" w:hAnsi="Times New Roman"/>
          <w:sz w:val="22"/>
        </w:rPr>
        <w:t>6. Regenstrief Institute. 'Logical Observation Identifiers Names and Codes (LOINC) Manual.' Regenstrief Center for Biomedical Informatics, Indianapolis, IN, 2022.</w:t>
      </w:r>
    </w:p>
    <w:p>
      <w:pPr>
        <w:spacing w:line="300" w:lineRule="auto" w:after="120"/>
      </w:pPr>
      <w:r>
        <w:rPr>
          <w:rFonts w:ascii="Times New Roman" w:hAnsi="Times New Roman"/>
          <w:sz w:val="22"/>
        </w:rPr>
        <w:t>7. SNOMED International. 'SNOMED CT Technical Implementation Guide.' International Health Terminology Standards Development Organisation, London, 2021.</w:t>
      </w:r>
    </w:p>
    <w:p>
      <w:pPr>
        <w:spacing w:line="300" w:lineRule="auto" w:after="120"/>
      </w:pPr>
      <w:r>
        <w:rPr>
          <w:rFonts w:ascii="Times New Roman" w:hAnsi="Times New Roman"/>
          <w:sz w:val="22"/>
        </w:rPr>
        <w:t>8. Rajpurkar, P., Chen, E., Banerjee, O., and Topol, E. J. 'AI in health and medicine.' Nature Medicine, vol. 28, no. 1, pp. 31–38, 2022.</w:t>
      </w:r>
    </w:p>
    <w:p>
      <w:pPr>
        <w:spacing w:line="300" w:lineRule="auto" w:after="120"/>
      </w:pPr>
      <w:r>
        <w:rPr>
          <w:rFonts w:ascii="Times New Roman" w:hAnsi="Times New Roman"/>
          <w:sz w:val="22"/>
        </w:rPr>
        <w:t>9. Singhal, K., Azizi, S., Tu, T., et al. 'Large language models encode clinical knowledge.' Nature, vol. 620, pp. 172–180, 2023.</w:t>
      </w:r>
    </w:p>
    <w:p>
      <w:pPr>
        <w:spacing w:line="300" w:lineRule="auto" w:after="120"/>
      </w:pPr>
      <w:r>
        <w:rPr>
          <w:rFonts w:ascii="Times New Roman" w:hAnsi="Times New Roman"/>
          <w:sz w:val="22"/>
        </w:rPr>
        <w:t>10. Mandl, K. D., and Kohane, I. S. 'Escaping the EHR trap — The future of health IT.' New England Journal of Medicine, vol. 366, no. 24, pp. 2240–2242, 2012.</w:t>
      </w:r>
    </w:p>
    <w:p>
      <w:pPr>
        <w:spacing w:line="300" w:lineRule="auto" w:after="120"/>
      </w:pPr>
      <w:r>
        <w:rPr>
          <w:rFonts w:ascii="Times New Roman" w:hAnsi="Times New Roman"/>
          <w:sz w:val="22"/>
        </w:rPr>
        <w:t>11. Topol, E. J. 'High-performance medicine: the convergence of human and artificial intelligence.' Nature Medicine, vol. 25, no. 1, pp. 44–56, 2019.</w:t>
      </w:r>
    </w:p>
    <w:p>
      <w:pPr>
        <w:spacing w:line="300" w:lineRule="auto" w:after="120"/>
      </w:pPr>
      <w:r>
        <w:rPr>
          <w:rFonts w:ascii="Times New Roman" w:hAnsi="Times New Roman"/>
          <w:sz w:val="22"/>
        </w:rPr>
        <w:t>12. Shortliffe, E. H. 'Computer-Based Medical Consultations: MYCIN.' Elsevier Computer Science Library, New York, 1976.</w:t>
      </w:r>
    </w:p>
    <w:p>
      <w:pPr>
        <w:spacing w:line="300" w:lineRule="auto" w:after="120"/>
      </w:pPr>
      <w:r>
        <w:rPr>
          <w:rFonts w:ascii="Times New Roman" w:hAnsi="Times New Roman"/>
          <w:sz w:val="22"/>
        </w:rPr>
        <w:t>13. Department of Computer Science &amp; Engineering. 'BCO 519A — Major Project Guidelines &amp; Evaluation Scheme.' Academic Session 2025–2026.</w:t>
      </w:r>
    </w:p>
    <w:p>
      <w:pPr>
        <w:spacing w:line="300" w:lineRule="auto" w:after="120"/>
      </w:pPr>
      <w:r>
        <w:rPr>
          <w:rFonts w:ascii="Times New Roman" w:hAnsi="Times New Roman"/>
          <w:sz w:val="22"/>
        </w:rPr>
        <w:t>14. ISO/TS 27799. 'Health informatics — Information security management in health using ISO/IEC 27002.' International Organization for Standardization, Geneva, 2016.</w:t>
      </w:r>
    </w:p>
    <w:p>
      <w:pPr>
        <w:spacing w:line="300" w:lineRule="auto" w:after="120"/>
      </w:pPr>
      <w:r>
        <w:rPr>
          <w:rFonts w:ascii="Times New Roman" w:hAnsi="Times New Roman"/>
          <w:sz w:val="22"/>
        </w:rPr>
        <w:t>15. US Department of Health and Human Services. 'Health Insurance Portability and Accountability Act of 1996 (HIPAA) Privacy Rule.' HHS.gov, Washington, D.C., 2003.</w:t>
      </w:r>
    </w:p>
    <w:p>
      <w:pPr>
        <w:spacing w:line="300" w:lineRule="auto" w:after="120"/>
      </w:pPr>
      <w:r>
        <w:rPr>
          <w:rFonts w:ascii="Times New Roman" w:hAnsi="Times New Roman"/>
          <w:sz w:val="22"/>
        </w:rPr>
        <w:t>16. React Core Team. 'React 19 Documentation &amp; Concurrent Architecture.' Meta Platforms Inc., Menlo Park, CA, 2024.</w:t>
      </w:r>
    </w:p>
    <w:p>
      <w:pPr>
        <w:spacing w:line="300" w:lineRule="auto" w:after="120"/>
      </w:pPr>
      <w:r>
        <w:rPr>
          <w:rFonts w:ascii="Times New Roman" w:hAnsi="Times New Roman"/>
          <w:sz w:val="22"/>
        </w:rPr>
        <w:t>17. Vite Core Team. 'Vite: Next Generation Frontend Tooling.' vite.dev, 2024.</w:t>
      </w:r>
    </w:p>
    <w:p>
      <w:pPr>
        <w:spacing w:line="300" w:lineRule="auto" w:after="120"/>
      </w:pPr>
      <w:r>
        <w:rPr>
          <w:rFonts w:ascii="Times New Roman" w:hAnsi="Times New Roman"/>
          <w:sz w:val="22"/>
        </w:rPr>
        <w:t>18. Microsoft Corporation. 'TypeScript 5.8 Language Specification.' Microsoft Docs, Redmond, WA, 2025.</w:t>
      </w:r>
    </w:p>
    <w:p>
      <w:pPr>
        <w:spacing w:line="300" w:lineRule="auto" w:after="120"/>
      </w:pPr>
      <w:r>
        <w:rPr>
          <w:rFonts w:ascii="Times New Roman" w:hAnsi="Times New Roman"/>
          <w:sz w:val="22"/>
        </w:rPr>
        <w:t>19. Express.js Foundation. 'Express 4.x API Reference and Routing Guide.' OpenJS Foundation, San Francisco, CA, 2024.</w:t>
      </w:r>
    </w:p>
    <w:p>
      <w:pPr>
        <w:spacing w:line="300" w:lineRule="auto" w:after="120"/>
      </w:pPr>
      <w:r>
        <w:rPr>
          <w:rFonts w:ascii="Times New Roman" w:hAnsi="Times New Roman"/>
          <w:sz w:val="22"/>
        </w:rPr>
        <w:t>20. Fielding, R. T. 'Architectural Styles and the Design of Network-based Software Architectures.' Ph.D. dissertation, University of California, Irvine, 2000.</w:t>
      </w:r>
    </w:p>
    <w:p>
      <w:r>
        <w:br w:type="page"/>
      </w:r>
    </w:p>
    <w:p>
      <w:pPr>
        <w:pStyle w:val="Heading1"/>
        <w:keepNext/>
        <w:spacing w:before="320" w:after="200"/>
      </w:pPr>
      <w:r>
        <w:rPr>
          <w:rFonts w:ascii="Times New Roman" w:hAnsi="Times New Roman"/>
          <w:b/>
          <w:color w:val="0F172A"/>
          <w:sz w:val="32"/>
        </w:rPr>
        <w:t>APPENDIX A: SOURCE CODE EXCERPTS</w:t>
      </w:r>
    </w:p>
    <w:p>
      <w:pPr>
        <w:spacing w:line="312" w:lineRule="auto" w:after="120"/>
      </w:pPr>
      <w:r>
        <w:rPr>
          <w:rFonts w:ascii="Times New Roman" w:hAnsi="Times New Roman"/>
          <w:color w:val="1E293B"/>
          <w:sz w:val="24"/>
        </w:rPr>
        <w:t>Listing A.1: Deterministic Trajectory Computing Algorithm (TypeScript Excerpt):</w:t>
        <w:br/>
        <w:br/>
        <w:t>```typescript</w:t>
        <w:br/>
        <w:t>export function calculateLabTrajectory(</w:t>
        <w:br/>
        <w:t xml:space="preserve">  parameterName: string,</w:t>
        <w:br/>
        <w:t xml:space="preserve">  latestValue: number,</w:t>
        <w:br/>
        <w:t xml:space="preserve">  baselineValue: number,</w:t>
        <w:br/>
        <w:t xml:space="preserve">  unit: string,</w:t>
        <w:br/>
        <w:t xml:space="preserve">  refRange: string</w:t>
        <w:br/>
        <w:t>): LabTrajectoryResult {</w:t>
        <w:br/>
        <w:t xml:space="preserve">  const delta = latestValue - baselineValue;</w:t>
        <w:br/>
        <w:t xml:space="preserve">  const percentChange = (delta / baselineValue) * 100;</w:t>
        <w:br/>
        <w:t xml:space="preserve">  let trend: 'Down' | 'Up' | 'Stable' = 'Stable';</w:t>
        <w:br/>
        <w:br/>
        <w:t xml:space="preserve">  if (percentChange &lt;= -3.0) {</w:t>
        <w:br/>
        <w:t xml:space="preserve">    trend = 'Down'; // Improved / Decreasing</w:t>
        <w:br/>
        <w:t xml:space="preserve">  } else if (percentChange &gt;= 3.0) {</w:t>
        <w:br/>
        <w:t xml:space="preserve">    trend = 'Up';   // Elevated / Increasing</w:t>
        <w:br/>
        <w:t xml:space="preserve">  }</w:t>
        <w:br/>
        <w:br/>
        <w:t xml:space="preserve">  return {</w:t>
        <w:br/>
        <w:t xml:space="preserve">    parameterName,</w:t>
        <w:br/>
        <w:t xml:space="preserve">    latestValue,</w:t>
        <w:br/>
        <w:t xml:space="preserve">    baselineValue,</w:t>
        <w:br/>
        <w:t xml:space="preserve">    delta,</w:t>
        <w:br/>
        <w:t xml:space="preserve">    percentChange,</w:t>
        <w:br/>
        <w:t xml:space="preserve">    trend,</w:t>
        <w:br/>
        <w:t xml:space="preserve">    unit,</w:t>
        <w:br/>
        <w:t xml:space="preserve">    referenceRange: refRange</w:t>
        <w:br/>
        <w:t xml:space="preserve">  };</w:t>
        <w:br/>
        <w:t>}</w:t>
        <w:br/>
        <w:t>```</w:t>
      </w:r>
    </w:p>
    <w:p>
      <w:pPr>
        <w:spacing w:line="312" w:lineRule="auto" w:after="120"/>
      </w:pPr>
      <w:r>
        <w:rPr>
          <w:rFonts w:ascii="Times New Roman" w:hAnsi="Times New Roman"/>
          <w:color w:val="1E293B"/>
          <w:sz w:val="24"/>
        </w:rPr>
        <w:t>Listing A.2: Disease Cure Milestone State Transition (TypeScript Excerpt):</w:t>
        <w:br/>
        <w:br/>
        <w:t>```typescript</w:t>
        <w:br/>
        <w:t>export function certifyDiseaseCure(</w:t>
        <w:br/>
        <w:t xml:space="preserve">  conditionId: string,</w:t>
        <w:br/>
        <w:t xml:space="preserve">  cureDate: string,</w:t>
        <w:br/>
        <w:t xml:space="preserve">  cureEvidence: string,</w:t>
        <w:br/>
        <w:t xml:space="preserve">  doctorLicense: string</w:t>
        <w:br/>
        <w:t>): ConditionRecord {</w:t>
        <w:br/>
        <w:t xml:space="preserve">  const condition = db.conditions.find(c =&gt; c.id === conditionId);</w:t>
        <w:br/>
        <w:t xml:space="preserve">  if (!condition) throw new Error('Condition record not found');</w:t>
        <w:br/>
        <w:br/>
        <w:t xml:space="preserve">  condition.currentStatus = 'RESOLVED';</w:t>
        <w:br/>
        <w:t xml:space="preserve">  condition.curedDate = cureDate;</w:t>
        <w:br/>
        <w:t xml:space="preserve">  condition.curedEvidence = `${cureEvidence} [Certified by License: ${doctorLicense}]`;</w:t>
        <w:br/>
        <w:t xml:space="preserve">  condition.updatedAt = new Date().toISOString();</w:t>
        <w:br/>
        <w:br/>
        <w:t xml:space="preserve">  db.auditLogs.insert({</w:t>
        <w:br/>
        <w:t xml:space="preserve">    action: 'CURE_CERTIFICATION',</w:t>
        <w:br/>
        <w:t xml:space="preserve">    conditionId,</w:t>
        <w:br/>
        <w:t xml:space="preserve">    timestamp: new Date().toISOString()</w:t>
        <w:br/>
        <w:t xml:space="preserve">  });</w:t>
        <w:br/>
        <w:br/>
        <w:t xml:space="preserve">  return condition;</w:t>
        <w:br/>
        <w:t>}</w:t>
        <w:br/>
        <w:t>```</w:t>
      </w:r>
    </w:p>
    <w:p>
      <w:r>
        <w:br w:type="page"/>
      </w:r>
    </w:p>
    <w:p>
      <w:pPr>
        <w:pStyle w:val="Heading1"/>
        <w:keepNext/>
        <w:spacing w:before="320" w:after="200"/>
      </w:pPr>
      <w:r>
        <w:rPr>
          <w:rFonts w:ascii="Times New Roman" w:hAnsi="Times New Roman"/>
          <w:b/>
          <w:color w:val="0F172A"/>
          <w:sz w:val="32"/>
        </w:rPr>
        <w:t>APPENDIX B: RESTFUL API ENDPOINT SPECIFICATIONS</w:t>
      </w:r>
    </w:p>
    <w:p>
      <w:pPr>
        <w:spacing w:line="312" w:lineRule="auto" w:after="120"/>
      </w:pPr>
      <w:r>
        <w:rPr>
          <w:rFonts w:ascii="Times New Roman" w:hAnsi="Times New Roman"/>
          <w:color w:val="1E293B"/>
          <w:sz w:val="24"/>
        </w:rPr>
        <w:t>Table B.1: Primary REST API Envelopes and Response Schemas:</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val="clear" w:color="auto" w:fill="E0F2FE"/>
            <w:tcMar>
              <w:top w:w="120" w:type="dxa"/>
              <w:bottom w:w="120" w:type="dxa"/>
              <w:left w:w="150" w:type="dxa"/>
              <w:right w:w="150" w:type="dxa"/>
            </w:tcMar>
          </w:tcPr>
          <w:p>
            <w:r>
              <w:rPr>
                <w:rFonts w:ascii="Times New Roman" w:hAnsi="Times New Roman"/>
                <w:b/>
                <w:color w:val="0F172A"/>
                <w:sz w:val="21"/>
              </w:rPr>
              <w:t>Endpoint Path</w:t>
            </w:r>
          </w:p>
        </w:tc>
        <w:tc>
          <w:tcPr>
            <w:tcW w:type="dxa" w:w="1296"/>
            <w:shd w:val="clear" w:color="auto" w:fill="E0F2FE"/>
            <w:tcMar>
              <w:top w:w="120" w:type="dxa"/>
              <w:bottom w:w="120" w:type="dxa"/>
              <w:left w:w="150" w:type="dxa"/>
              <w:right w:w="150" w:type="dxa"/>
            </w:tcMar>
          </w:tcPr>
          <w:p>
            <w:r>
              <w:rPr>
                <w:rFonts w:ascii="Times New Roman" w:hAnsi="Times New Roman"/>
                <w:b/>
                <w:color w:val="0F172A"/>
                <w:sz w:val="21"/>
              </w:rPr>
              <w:t>HTTP Method</w:t>
            </w:r>
          </w:p>
        </w:tc>
        <w:tc>
          <w:tcPr>
            <w:tcW w:type="dxa" w:w="2592"/>
            <w:shd w:val="clear" w:color="auto" w:fill="E0F2FE"/>
            <w:tcMar>
              <w:top w:w="120" w:type="dxa"/>
              <w:bottom w:w="120" w:type="dxa"/>
              <w:left w:w="150" w:type="dxa"/>
              <w:right w:w="150" w:type="dxa"/>
            </w:tcMar>
          </w:tcPr>
          <w:p>
            <w:r>
              <w:rPr>
                <w:rFonts w:ascii="Times New Roman" w:hAnsi="Times New Roman"/>
                <w:b/>
                <w:color w:val="0F172A"/>
                <w:sz w:val="21"/>
              </w:rPr>
              <w:t>Request Payload</w:t>
            </w:r>
          </w:p>
        </w:tc>
        <w:tc>
          <w:tcPr>
            <w:tcW w:type="dxa" w:w="2592"/>
            <w:shd w:val="clear" w:color="auto" w:fill="E0F2FE"/>
            <w:tcMar>
              <w:top w:w="120" w:type="dxa"/>
              <w:bottom w:w="120" w:type="dxa"/>
              <w:left w:w="150" w:type="dxa"/>
              <w:right w:w="150" w:type="dxa"/>
            </w:tcMar>
          </w:tcPr>
          <w:p>
            <w:r>
              <w:rPr>
                <w:rFonts w:ascii="Times New Roman" w:hAnsi="Times New Roman"/>
                <w:b/>
                <w:color w:val="0F172A"/>
                <w:sz w:val="21"/>
              </w:rPr>
              <w:t>Success Response (200 OK)</w:t>
            </w:r>
          </w:p>
        </w:tc>
        <w:tc>
          <w:tcPr>
            <w:tcW w:type="dxa" w:w="1584"/>
            <w:shd w:val="clear" w:color="auto" w:fill="E0F2FE"/>
            <w:tcMar>
              <w:top w:w="120" w:type="dxa"/>
              <w:bottom w:w="120" w:type="dxa"/>
              <w:left w:w="150" w:type="dxa"/>
              <w:right w:w="150" w:type="dxa"/>
            </w:tcMar>
          </w:tcPr>
          <w:p>
            <w:r>
              <w:rPr>
                <w:rFonts w:ascii="Times New Roman" w:hAnsi="Times New Roman"/>
                <w:b/>
                <w:color w:val="0F172A"/>
                <w:sz w:val="21"/>
              </w:rPr>
              <w:t>Security Guard</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/api/v1/auth/session</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GET</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None</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 success: true, session: AuthSession }</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Session Cookie / Token</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/api/v1/auth/login</w:t>
            </w:r>
          </w:p>
        </w:tc>
        <w:tc>
          <w:tcPr>
            <w:tcW w:type="dxa" w:w="1296"/>
            <w:shd w:val="clear" w:color="auto" w:fill="F8FAFC"/>
            <w:tcMar>
              <w:top w:w="80" w:type="dxa"/>
              <w:bottom w:w="80" w:type="dxa"/>
              <w:left w:w="120" w:type="dxa"/>
              <w:right w:w="120" w:type="dxa"/>
            </w:tcMar>
          </w:tcPr>
          <w:p>
            <w:r>
              <w:rPr>
                <w:rFonts w:ascii="Times New Roman" w:hAnsi="Times New Roman"/>
                <w:color w:val="334155"/>
                <w:sz w:val="20"/>
              </w:rPr>
              <w:t>POST</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 role: string, doctorName?: string, hospitalId?: string }</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 success: true, user: object }</w:t>
            </w:r>
          </w:p>
        </w:tc>
        <w:tc>
          <w:tcPr>
            <w:tcW w:type="dxa" w:w="1584"/>
            <w:shd w:val="clear" w:color="auto" w:fill="F8FAFC"/>
            <w:tcMar>
              <w:top w:w="80" w:type="dxa"/>
              <w:bottom w:w="80" w:type="dxa"/>
              <w:left w:w="120" w:type="dxa"/>
              <w:right w:w="120" w:type="dxa"/>
            </w:tcMar>
          </w:tcPr>
          <w:p>
            <w:r>
              <w:rPr>
                <w:rFonts w:ascii="Times New Roman" w:hAnsi="Times New Roman"/>
                <w:color w:val="334155"/>
                <w:sz w:val="20"/>
              </w:rPr>
              <w:t>Login Gatekeeper</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/api/v1/doctor/patient-dossier</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GET</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Query: ?patientId=MED-00010001</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 success: true, dossier: PatientDossier }</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Doctor Role Filter</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/api/v1/doctor/cure-condition</w:t>
            </w:r>
          </w:p>
        </w:tc>
        <w:tc>
          <w:tcPr>
            <w:tcW w:type="dxa" w:w="1296"/>
            <w:shd w:val="clear" w:color="auto" w:fill="F8FAFC"/>
            <w:tcMar>
              <w:top w:w="80" w:type="dxa"/>
              <w:bottom w:w="80" w:type="dxa"/>
              <w:left w:w="120" w:type="dxa"/>
              <w:right w:w="120" w:type="dxa"/>
            </w:tcMar>
          </w:tcPr>
          <w:p>
            <w:r>
              <w:rPr>
                <w:rFonts w:ascii="Times New Roman" w:hAnsi="Times New Roman"/>
                <w:color w:val="334155"/>
                <w:sz w:val="20"/>
              </w:rPr>
              <w:t>POST</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 conditionId: string, cureDate: string, cureEvidence: string }</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 success: true, updated: Condition }</w:t>
            </w:r>
          </w:p>
        </w:tc>
        <w:tc>
          <w:tcPr>
            <w:tcW w:type="dxa" w:w="1584"/>
            <w:shd w:val="clear" w:color="auto" w:fill="F8FAFC"/>
            <w:tcMar>
              <w:top w:w="80" w:type="dxa"/>
              <w:bottom w:w="80" w:type="dxa"/>
              <w:left w:w="120" w:type="dxa"/>
              <w:right w:w="120" w:type="dxa"/>
            </w:tcMar>
          </w:tcPr>
          <w:p>
            <w:r>
              <w:rPr>
                <w:rFonts w:ascii="Times New Roman" w:hAnsi="Times New Roman"/>
                <w:color w:val="334155"/>
                <w:sz w:val="20"/>
              </w:rPr>
              <w:t>Doctor Role Filter</w:t>
            </w:r>
          </w:p>
        </w:tc>
      </w:tr>
      <w:tr>
        <w:tc>
          <w:tcPr>
            <w:tcW w:type="dxa" w:w="2016"/>
            <w:shd w:val="clear" w:color="auto" w:fill="FFFFFF"/>
            <w:tcMar>
              <w:top w:w="80" w:type="dxa"/>
              <w:bottom w:w="80" w:type="dxa"/>
              <w:left w:w="120" w:type="dxa"/>
              <w:right w:w="120" w:type="dxa"/>
            </w:tcMar>
          </w:tcPr>
          <w:p>
            <w:r>
              <w:rPr>
                <w:rFonts w:ascii="Times New Roman" w:hAnsi="Times New Roman"/>
                <w:color w:val="334155"/>
                <w:sz w:val="20"/>
              </w:rPr>
              <w:t>/api/v1/ai/doctor-analysis</w:t>
            </w:r>
          </w:p>
        </w:tc>
        <w:tc>
          <w:tcPr>
            <w:tcW w:type="dxa" w:w="1296"/>
            <w:shd w:val="clear" w:color="auto" w:fill="FFFFFF"/>
            <w:tcMar>
              <w:top w:w="80" w:type="dxa"/>
              <w:bottom w:w="80" w:type="dxa"/>
              <w:left w:w="120" w:type="dxa"/>
              <w:right w:w="120" w:type="dxa"/>
            </w:tcMar>
          </w:tcPr>
          <w:p>
            <w:r>
              <w:rPr>
                <w:rFonts w:ascii="Times New Roman" w:hAnsi="Times New Roman"/>
                <w:color w:val="334155"/>
                <w:sz w:val="20"/>
              </w:rPr>
              <w:t>POST</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 patientId: string, query: string }</w:t>
            </w:r>
          </w:p>
        </w:tc>
        <w:tc>
          <w:tcPr>
            <w:tcW w:type="dxa" w:w="2592"/>
            <w:shd w:val="clear" w:color="auto" w:fill="FFFFFF"/>
            <w:tcMar>
              <w:top w:w="80" w:type="dxa"/>
              <w:bottom w:w="80" w:type="dxa"/>
              <w:left w:w="120" w:type="dxa"/>
              <w:right w:w="120" w:type="dxa"/>
            </w:tcMar>
          </w:tcPr>
          <w:p>
            <w:r>
              <w:rPr>
                <w:rFonts w:ascii="Times New Roman" w:hAnsi="Times New Roman"/>
                <w:color w:val="334155"/>
                <w:sz w:val="20"/>
              </w:rPr>
              <w:t>{ success: true, answer: string, citations: array, correlatedLabs: array }</w:t>
            </w:r>
          </w:p>
        </w:tc>
        <w:tc>
          <w:tcPr>
            <w:tcW w:type="dxa" w:w="1584"/>
            <w:shd w:val="clear" w:color="auto" w:fill="FFFFFF"/>
            <w:tcMar>
              <w:top w:w="80" w:type="dxa"/>
              <w:bottom w:w="80" w:type="dxa"/>
              <w:left w:w="120" w:type="dxa"/>
              <w:right w:w="120" w:type="dxa"/>
            </w:tcMar>
          </w:tcPr>
          <w:p>
            <w:r>
              <w:rPr>
                <w:rFonts w:ascii="Times New Roman" w:hAnsi="Times New Roman"/>
                <w:color w:val="334155"/>
                <w:sz w:val="20"/>
              </w:rPr>
              <w:t>Zero-Trust RBAC</w:t>
            </w:r>
          </w:p>
        </w:tc>
      </w:tr>
      <w:tr>
        <w:tc>
          <w:tcPr>
            <w:tcW w:type="dxa" w:w="2016"/>
            <w:shd w:val="clear" w:color="auto" w:fill="F8FAFC"/>
            <w:tcMar>
              <w:top w:w="80" w:type="dxa"/>
              <w:bottom w:w="80" w:type="dxa"/>
              <w:left w:w="120" w:type="dxa"/>
              <w:right w:w="120" w:type="dxa"/>
            </w:tcMar>
          </w:tcPr>
          <w:p>
            <w:r>
              <w:rPr>
                <w:rFonts w:ascii="Times New Roman" w:hAnsi="Times New Roman"/>
                <w:color w:val="334155"/>
                <w:sz w:val="20"/>
              </w:rPr>
              <w:t>/api/v1/hospitals/registry</w:t>
            </w:r>
          </w:p>
        </w:tc>
        <w:tc>
          <w:tcPr>
            <w:tcW w:type="dxa" w:w="1296"/>
            <w:shd w:val="clear" w:color="auto" w:fill="F8FAFC"/>
            <w:tcMar>
              <w:top w:w="80" w:type="dxa"/>
              <w:bottom w:w="80" w:type="dxa"/>
              <w:left w:w="120" w:type="dxa"/>
              <w:right w:w="120" w:type="dxa"/>
            </w:tcMar>
          </w:tcPr>
          <w:p>
            <w:r>
              <w:rPr>
                <w:rFonts w:ascii="Times New Roman" w:hAnsi="Times New Roman"/>
                <w:color w:val="334155"/>
                <w:sz w:val="20"/>
              </w:rPr>
              <w:t>GET</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None</w:t>
            </w:r>
          </w:p>
        </w:tc>
        <w:tc>
          <w:tcPr>
            <w:tcW w:type="dxa" w:w="2592"/>
            <w:shd w:val="clear" w:color="auto" w:fill="F8FAFC"/>
            <w:tcMar>
              <w:top w:w="80" w:type="dxa"/>
              <w:bottom w:w="80" w:type="dxa"/>
              <w:left w:w="120" w:type="dxa"/>
              <w:right w:w="120" w:type="dxa"/>
            </w:tcMar>
          </w:tcPr>
          <w:p>
            <w:r>
              <w:rPr>
                <w:rFonts w:ascii="Times New Roman" w:hAnsi="Times New Roman"/>
                <w:color w:val="334155"/>
                <w:sz w:val="20"/>
              </w:rPr>
              <w:t>{ success: true, hospitals: array }</w:t>
            </w:r>
          </w:p>
        </w:tc>
        <w:tc>
          <w:tcPr>
            <w:tcW w:type="dxa" w:w="1584"/>
            <w:shd w:val="clear" w:color="auto" w:fill="F8FAFC"/>
            <w:tcMar>
              <w:top w:w="80" w:type="dxa"/>
              <w:bottom w:w="80" w:type="dxa"/>
              <w:left w:w="120" w:type="dxa"/>
              <w:right w:w="120" w:type="dxa"/>
            </w:tcMar>
          </w:tcPr>
          <w:p>
            <w:r>
              <w:rPr>
                <w:rFonts w:ascii="Times New Roman" w:hAnsi="Times New Roman"/>
                <w:color w:val="334155"/>
                <w:sz w:val="20"/>
              </w:rPr>
              <w:t>Public / Auth Ingress</w:t>
            </w:r>
          </w:p>
        </w:tc>
      </w:tr>
    </w:tbl>
    <w:p>
      <w:pPr>
        <w:spacing w:after="120"/>
      </w:pP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