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5myise7wicq" w:id="0"/>
      <w:bookmarkEnd w:id="0"/>
      <w:r w:rsidDel="00000000" w:rsidR="00000000" w:rsidRPr="00000000">
        <w:rPr>
          <w:b w:val="1"/>
          <w:bCs w:val="1"/>
          <w:sz w:val="46"/>
          <w:szCs w:val="46"/>
          <w:rtl w:val="0"/>
        </w:rPr>
        <w:t xml:space="preserve">Customer Churn Analysis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e1v9tgymje6" w:id="1"/>
      <w:bookmarkEnd w:id="1"/>
      <w:r w:rsidDel="00000000" w:rsidR="00000000" w:rsidRPr="00000000">
        <w:rPr>
          <w:b w:val="1"/>
          <w:bCs w:val="1"/>
          <w:sz w:val="34"/>
          <w:szCs w:val="34"/>
          <w:rtl w:val="0"/>
        </w:rPr>
        <w:t xml:space="preserve">1. Objective</w:t>
      </w:r>
    </w:p>
    <w:p w:rsidR="00000000" w:rsidDel="00000000" w:rsidP="00000000" w:rsidRDefault="00000000" w:rsidRPr="00000000" w14:paraId="00000003">
      <w:pPr>
        <w:spacing w:after="240" w:before="240" w:lineRule="auto"/>
        <w:rPr/>
      </w:pPr>
      <w:r w:rsidDel="00000000" w:rsidR="00000000" w:rsidRPr="00000000">
        <w:rPr>
          <w:rtl w:val="0"/>
        </w:rPr>
        <w:t xml:space="preserve">The primary objective of this analysis is to understand customer churn behavior by examining demographic, contractual, and financial factors. Through exploratory data analysis and visualizations, the goal is to identify key drivers of churn, uncover high-risk customer segments, and derive actionable insights that can help improve customer retention and support strategic business decisions.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2zpu8tdvjhx" w:id="2"/>
      <w:bookmarkEnd w:id="2"/>
      <w:r w:rsidDel="00000000" w:rsidR="00000000" w:rsidRPr="00000000">
        <w:rPr>
          <w:b w:val="1"/>
          <w:bCs w:val="1"/>
          <w:sz w:val="34"/>
          <w:szCs w:val="34"/>
          <w:rtl w:val="0"/>
        </w:rPr>
        <w:t xml:space="preserve">2. Dataset Overview</w:t>
      </w:r>
    </w:p>
    <w:p w:rsidR="00000000" w:rsidDel="00000000" w:rsidP="00000000" w:rsidRDefault="00000000" w:rsidRPr="00000000" w14:paraId="00000006">
      <w:pPr>
        <w:spacing w:after="240" w:before="240" w:lineRule="auto"/>
        <w:rPr/>
      </w:pPr>
      <w:r w:rsidDel="00000000" w:rsidR="00000000" w:rsidRPr="00000000">
        <w:rPr>
          <w:rtl w:val="0"/>
        </w:rPr>
        <w:t xml:space="preserve">The dataset used for this analysis contains customer-level information, including:</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Demographic attributes (gender, senior citizen status)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Account information (tenure, contract type, payment method)</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Financial metrics (monthly charges, total charges)</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tl w:val="0"/>
        </w:rPr>
        <w:t xml:space="preserve">Churn indicator (whether the customer has churned)</w:t>
      </w:r>
    </w:p>
    <w:p w:rsidR="00000000" w:rsidDel="00000000" w:rsidP="00000000" w:rsidRDefault="00000000" w:rsidRPr="00000000" w14:paraId="0000000B">
      <w:pPr>
        <w:spacing w:after="240" w:before="240" w:lineRule="auto"/>
        <w:rPr/>
      </w:pPr>
      <w:r w:rsidDel="00000000" w:rsidR="00000000" w:rsidRPr="00000000">
        <w:rPr>
          <w:rtl w:val="0"/>
        </w:rPr>
        <w:t xml:space="preserve">These variables together provide a comprehensive view of customer behavior and retention patterns.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2r0l35z2dp99" w:id="3"/>
      <w:bookmarkEnd w:id="3"/>
      <w:r w:rsidDel="00000000" w:rsidR="00000000" w:rsidRPr="00000000">
        <w:rPr>
          <w:b w:val="1"/>
          <w:bCs w:val="1"/>
          <w:sz w:val="34"/>
          <w:szCs w:val="34"/>
          <w:rtl w:val="0"/>
        </w:rPr>
        <w:t xml:space="preserve">3. Exploratory Data Analysis &amp; Visual Insights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v6a1ximqs60" w:id="4"/>
      <w:bookmarkEnd w:id="4"/>
      <w:r w:rsidDel="00000000" w:rsidR="00000000" w:rsidRPr="00000000">
        <w:rPr>
          <w:b w:val="1"/>
          <w:bCs w:val="1"/>
          <w:color w:val="000000"/>
          <w:sz w:val="26"/>
          <w:szCs w:val="26"/>
          <w:rtl w:val="0"/>
        </w:rPr>
        <w:t xml:space="preserve">3.1 Gender-wise Churn Analysis</w:t>
      </w:r>
    </w:p>
    <w:p w:rsidR="00000000" w:rsidDel="00000000" w:rsidP="00000000" w:rsidRDefault="00000000" w:rsidRPr="00000000" w14:paraId="0000000F">
      <w:pPr>
        <w:spacing w:after="240" w:before="240" w:lineRule="auto"/>
        <w:rPr/>
      </w:pPr>
      <w:r w:rsidDel="00000000" w:rsidR="00000000" w:rsidRPr="00000000">
        <w:rPr>
          <w:rtl w:val="0"/>
        </w:rPr>
        <w:t xml:space="preserve">The gender-based analysis shows that churn rates are relatively balanced across genders. No significant disparity is observed, indicating that gender alone is not a strong determinant of churn.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Insight:</w:t>
      </w:r>
      <w:r w:rsidDel="00000000" w:rsidR="00000000" w:rsidRPr="00000000">
        <w:rPr>
          <w:rtl w:val="0"/>
        </w:rPr>
        <w:t xml:space="preserve"> Retention strategies should not be gender-specific but instead focus on behavioral and contractual factors.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di5i68m8frkt" w:id="5"/>
      <w:bookmarkEnd w:id="5"/>
      <w:r w:rsidDel="00000000" w:rsidR="00000000" w:rsidRPr="00000000">
        <w:rPr>
          <w:b w:val="1"/>
          <w:bCs w:val="1"/>
          <w:color w:val="000000"/>
          <w:sz w:val="26"/>
          <w:szCs w:val="26"/>
          <w:rtl w:val="0"/>
        </w:rPr>
        <w:t xml:space="preserve">3.2 Senior Citizen Impact on Churn</w:t>
      </w:r>
    </w:p>
    <w:p w:rsidR="00000000" w:rsidDel="00000000" w:rsidP="00000000" w:rsidRDefault="00000000" w:rsidRPr="00000000" w14:paraId="00000013">
      <w:pPr>
        <w:spacing w:after="240" w:before="240" w:lineRule="auto"/>
        <w:rPr/>
      </w:pPr>
      <w:r w:rsidDel="00000000" w:rsidR="00000000" w:rsidRPr="00000000">
        <w:rPr>
          <w:rtl w:val="0"/>
        </w:rPr>
        <w:t xml:space="preserve">Customers classified as senior citizens demonstrate a noticeably higher churn rate compared to non-senior customers. This trend is consistently visible across the charts.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Insight:</w:t>
      </w:r>
      <w:r w:rsidDel="00000000" w:rsidR="00000000" w:rsidRPr="00000000">
        <w:rPr>
          <w:rtl w:val="0"/>
        </w:rPr>
        <w:t xml:space="preserve"> Senior citizens represent a high-risk churn segment and may require customized plans, enhanced customer support, or targeted communication strategies.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ktddrgybo23f" w:id="6"/>
      <w:bookmarkEnd w:id="6"/>
      <w:r w:rsidDel="00000000" w:rsidR="00000000" w:rsidRPr="00000000">
        <w:rPr>
          <w:b w:val="1"/>
          <w:bCs w:val="1"/>
          <w:color w:val="000000"/>
          <w:sz w:val="26"/>
          <w:szCs w:val="26"/>
          <w:rtl w:val="0"/>
        </w:rPr>
        <w:t xml:space="preserve">3.3 Tenure vs Churn</w:t>
      </w:r>
    </w:p>
    <w:p w:rsidR="00000000" w:rsidDel="00000000" w:rsidP="00000000" w:rsidRDefault="00000000" w:rsidRPr="00000000" w14:paraId="00000017">
      <w:pPr>
        <w:spacing w:after="240" w:before="240" w:lineRule="auto"/>
        <w:rPr/>
      </w:pPr>
      <w:r w:rsidDel="00000000" w:rsidR="00000000" w:rsidRPr="00000000">
        <w:rPr>
          <w:rtl w:val="0"/>
        </w:rPr>
        <w:t xml:space="preserve">Tenure analysis reveals a strong inverse relationship between tenure length and churn probability. Customers with shorter tenure are far more likely to churn, while long-term customers show higher retention.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Insight:</w:t>
      </w:r>
      <w:r w:rsidDel="00000000" w:rsidR="00000000" w:rsidRPr="00000000">
        <w:rPr>
          <w:rtl w:val="0"/>
        </w:rPr>
        <w:t xml:space="preserve"> The early stages of the customer lifecycle are the most vulnerable. Improving onboarding and first-month experiences can significantly reduce churn.</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399499s1n04y" w:id="7"/>
      <w:bookmarkEnd w:id="7"/>
      <w:r w:rsidDel="00000000" w:rsidR="00000000" w:rsidRPr="00000000">
        <w:rPr>
          <w:b w:val="1"/>
          <w:bCs w:val="1"/>
          <w:color w:val="000000"/>
          <w:sz w:val="26"/>
          <w:szCs w:val="26"/>
          <w:rtl w:val="0"/>
        </w:rPr>
        <w:t xml:space="preserve">3.4 Contract Type and Churn Behavior</w:t>
      </w:r>
    </w:p>
    <w:p w:rsidR="00000000" w:rsidDel="00000000" w:rsidP="00000000" w:rsidRDefault="00000000" w:rsidRPr="00000000" w14:paraId="0000001B">
      <w:pPr>
        <w:spacing w:after="240" w:before="240" w:lineRule="auto"/>
        <w:rPr/>
      </w:pPr>
      <w:r w:rsidDel="00000000" w:rsidR="00000000" w:rsidRPr="00000000">
        <w:rPr>
          <w:rtl w:val="0"/>
        </w:rPr>
        <w:t xml:space="preserve">Contract type emerges as one of the strongest churn indicators:</w:t>
      </w:r>
    </w:p>
    <w:p w:rsidR="00000000" w:rsidDel="00000000" w:rsidP="00000000" w:rsidRDefault="00000000" w:rsidRPr="00000000" w14:paraId="0000001C">
      <w:pPr>
        <w:numPr>
          <w:ilvl w:val="0"/>
          <w:numId w:val="3"/>
        </w:numPr>
        <w:spacing w:after="0" w:afterAutospacing="0" w:before="240" w:lineRule="auto"/>
        <w:ind w:left="720" w:hanging="360"/>
      </w:pPr>
      <w:r w:rsidDel="00000000" w:rsidR="00000000" w:rsidRPr="00000000">
        <w:rPr>
          <w:rtl w:val="0"/>
        </w:rPr>
        <w:t xml:space="preserve">Month-to-month contracts have the highest churn rates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One-year and two-year contracts show significantly lower churn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Insight:</w:t>
      </w:r>
      <w:r w:rsidDel="00000000" w:rsidR="00000000" w:rsidRPr="00000000">
        <w:rPr>
          <w:rtl w:val="0"/>
        </w:rPr>
        <w:t xml:space="preserve"> Long-term contracts increase customer stability and reduce churn risk.</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vax8wxggf9n0" w:id="8"/>
      <w:bookmarkEnd w:id="8"/>
      <w:r w:rsidDel="00000000" w:rsidR="00000000" w:rsidRPr="00000000">
        <w:rPr>
          <w:b w:val="1"/>
          <w:bCs w:val="1"/>
          <w:color w:val="000000"/>
          <w:sz w:val="26"/>
          <w:szCs w:val="26"/>
          <w:rtl w:val="0"/>
        </w:rPr>
        <w:t xml:space="preserve">3.5 Payment Method and Charges Analysis</w:t>
      </w:r>
    </w:p>
    <w:p w:rsidR="00000000" w:rsidDel="00000000" w:rsidP="00000000" w:rsidRDefault="00000000" w:rsidRPr="00000000" w14:paraId="00000021">
      <w:pPr>
        <w:spacing w:after="240" w:before="240" w:lineRule="auto"/>
        <w:rPr/>
      </w:pPr>
      <w:r w:rsidDel="00000000" w:rsidR="00000000" w:rsidRPr="00000000">
        <w:rPr>
          <w:rtl w:val="0"/>
        </w:rPr>
        <w:t xml:space="preserve">The analysis of payment methods and billing-related variables shows variation in churn distribution across different payment types. Monthly and total charges add important context, suggesting that pricing perception and billing convenience may influence churn decisions.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Insight:</w:t>
      </w:r>
      <w:r w:rsidDel="00000000" w:rsidR="00000000" w:rsidRPr="00000000">
        <w:rPr>
          <w:rtl w:val="0"/>
        </w:rPr>
        <w:t xml:space="preserve"> Billing experience and payment flexibility can indirectly affect customer retention.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eh3olgtyza1s" w:id="9"/>
      <w:bookmarkEnd w:id="9"/>
      <w:r w:rsidDel="00000000" w:rsidR="00000000" w:rsidRPr="00000000">
        <w:rPr>
          <w:b w:val="1"/>
          <w:bCs w:val="1"/>
          <w:sz w:val="34"/>
          <w:szCs w:val="34"/>
          <w:rtl w:val="0"/>
        </w:rPr>
        <w:t xml:space="preserve">4. Key Findings Summary</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Gender is not a major driver of churn</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Senior citizens have a higher likelihood of churning</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Short-tenure customers are at the highest risk</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Month-to-month contracts are strongly associated with churn</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rtl w:val="0"/>
        </w:rPr>
        <w:t xml:space="preserve">Pricing and payment methods play a supporting role in churn behavior</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flmt31n7jt49" w:id="10"/>
      <w:bookmarkEnd w:id="10"/>
      <w:r w:rsidDel="00000000" w:rsidR="00000000" w:rsidRPr="00000000">
        <w:rPr>
          <w:b w:val="1"/>
          <w:bCs w:val="1"/>
          <w:sz w:val="34"/>
          <w:szCs w:val="34"/>
          <w:rtl w:val="0"/>
        </w:rPr>
        <w:t xml:space="preserve">5. Business Recommendations</w:t>
      </w:r>
    </w:p>
    <w:p w:rsidR="00000000" w:rsidDel="00000000" w:rsidP="00000000" w:rsidRDefault="00000000" w:rsidRPr="00000000" w14:paraId="0000002C">
      <w:pPr>
        <w:spacing w:after="240" w:before="240" w:lineRule="auto"/>
        <w:rPr/>
      </w:pPr>
      <w:r w:rsidDel="00000000" w:rsidR="00000000" w:rsidRPr="00000000">
        <w:rPr>
          <w:rtl w:val="0"/>
        </w:rPr>
        <w:t xml:space="preserve">Based on the analysis and visual insights, the following actions are recommended:</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Strengthen Early Engagement</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rtl w:val="0"/>
        </w:rPr>
        <w:t xml:space="preserve">Improve onboarding processes</w:t>
      </w:r>
    </w:p>
    <w:p w:rsidR="00000000" w:rsidDel="00000000" w:rsidP="00000000" w:rsidRDefault="00000000" w:rsidRPr="00000000" w14:paraId="0000002F">
      <w:pPr>
        <w:numPr>
          <w:ilvl w:val="1"/>
          <w:numId w:val="4"/>
        </w:numPr>
        <w:spacing w:after="0" w:afterAutospacing="0" w:before="0" w:beforeAutospacing="0" w:lineRule="auto"/>
        <w:ind w:left="1440" w:hanging="360"/>
      </w:pPr>
      <w:r w:rsidDel="00000000" w:rsidR="00000000" w:rsidRPr="00000000">
        <w:rPr>
          <w:rtl w:val="0"/>
        </w:rPr>
        <w:t xml:space="preserve">Provide proactive support during the first few months</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b w:val="1"/>
          <w:bCs w:val="1"/>
          <w:rtl w:val="0"/>
        </w:rPr>
        <w:t xml:space="preserve">Promote Long-Term Contracts</w:t>
      </w:r>
    </w:p>
    <w:p w:rsidR="00000000" w:rsidDel="00000000" w:rsidP="00000000" w:rsidRDefault="00000000" w:rsidRPr="00000000" w14:paraId="00000031">
      <w:pPr>
        <w:numPr>
          <w:ilvl w:val="1"/>
          <w:numId w:val="4"/>
        </w:numPr>
        <w:spacing w:after="0" w:afterAutospacing="0" w:before="0" w:beforeAutospacing="0" w:lineRule="auto"/>
        <w:ind w:left="1440" w:hanging="360"/>
      </w:pPr>
      <w:r w:rsidDel="00000000" w:rsidR="00000000" w:rsidRPr="00000000">
        <w:rPr>
          <w:rtl w:val="0"/>
        </w:rPr>
        <w:t xml:space="preserve">Offer incentives for switching to yearly or multi-year plans</w:t>
      </w:r>
    </w:p>
    <w:p w:rsidR="00000000" w:rsidDel="00000000" w:rsidP="00000000" w:rsidRDefault="00000000" w:rsidRPr="00000000" w14:paraId="00000032">
      <w:pPr>
        <w:numPr>
          <w:ilvl w:val="1"/>
          <w:numId w:val="4"/>
        </w:numPr>
        <w:spacing w:after="0" w:afterAutospacing="0" w:before="0" w:beforeAutospacing="0" w:lineRule="auto"/>
        <w:ind w:left="1440" w:hanging="360"/>
      </w:pPr>
      <w:r w:rsidDel="00000000" w:rsidR="00000000" w:rsidRPr="00000000">
        <w:rPr>
          <w:rtl w:val="0"/>
        </w:rPr>
        <w:t xml:space="preserve">Highlight long-term cost benefits to customers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Target Senior Citizen Segment</w:t>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rtl w:val="0"/>
        </w:rPr>
        <w:t xml:space="preserve">Design customized service plans</w:t>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rtl w:val="0"/>
        </w:rPr>
        <w:t xml:space="preserve">Provide simplified billing and enhanced support</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Optimize Billing &amp; Payment Experience</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tl w:val="0"/>
        </w:rPr>
        <w:t xml:space="preserve">Review pricing structures</w:t>
      </w:r>
    </w:p>
    <w:p w:rsidR="00000000" w:rsidDel="00000000" w:rsidP="00000000" w:rsidRDefault="00000000" w:rsidRPr="00000000" w14:paraId="00000038">
      <w:pPr>
        <w:numPr>
          <w:ilvl w:val="1"/>
          <w:numId w:val="4"/>
        </w:numPr>
        <w:spacing w:after="240" w:before="0" w:beforeAutospacing="0" w:lineRule="auto"/>
        <w:ind w:left="1440" w:hanging="360"/>
      </w:pPr>
      <w:r w:rsidDel="00000000" w:rsidR="00000000" w:rsidRPr="00000000">
        <w:rPr>
          <w:rtl w:val="0"/>
        </w:rPr>
        <w:t xml:space="preserve">Ensure payment methods are seamless and transparent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2875jzzg1irz" w:id="11"/>
      <w:bookmarkEnd w:id="11"/>
      <w:r w:rsidDel="00000000" w:rsidR="00000000" w:rsidRPr="00000000">
        <w:rPr>
          <w:b w:val="1"/>
          <w:bCs w:val="1"/>
          <w:sz w:val="34"/>
          <w:szCs w:val="34"/>
          <w:rtl w:val="0"/>
        </w:rPr>
        <w:t xml:space="preserve">6. Conclusion</w:t>
      </w:r>
    </w:p>
    <w:p w:rsidR="00000000" w:rsidDel="00000000" w:rsidP="00000000" w:rsidRDefault="00000000" w:rsidRPr="00000000" w14:paraId="0000003B">
      <w:pPr>
        <w:spacing w:after="240" w:before="240" w:lineRule="auto"/>
        <w:rPr/>
      </w:pPr>
      <w:r w:rsidDel="00000000" w:rsidR="00000000" w:rsidRPr="00000000">
        <w:rPr>
          <w:rtl w:val="0"/>
        </w:rPr>
        <w:t xml:space="preserve">This churn analysis successfully identifies the most influential factors affecting customer retention. The charts and visualizations clearly communicate these insights, making them accessible to both technical and non-technical stakeholders. By acting on the identified drivers—particularly tenure, contract type, and senior citizen engagement—the business can significantly reduce churn and improve long-term customer value.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