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NTRO CYBER INTELLIGENCE BRIEFING: THREAT VECTOR 26154</w:t>
      </w:r>
    </w:p>
    <w:p>
      <w:r>
        <w:t>Classification: Sensitive / For Official Evaluation</w:t>
      </w:r>
    </w:p>
    <w:p>
      <w:r>
        <w:t>Date: 2026-08-28 | Target Sector: Critical Communications Infrastructure</w:t>
      </w:r>
    </w:p>
    <w:p>
      <w:r>
        <w:t>The National Technical Research Organisation (NTRO) detected anomalous DNS tunneling activity originating from host 198.51.100.220. Immediate session revoking and firewall synchronization mitigations were enacted.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