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2C59"/>
          <w:sz w:val="48"/>
        </w:rPr>
        <w:t>Project Engineering &amp; Progress Report</w:t>
      </w:r>
    </w:p>
    <w:p>
      <w:pPr>
        <w:spacing w:before="0" w:after="280"/>
      </w:pPr>
      <w:r>
        <w:rPr>
          <w:rFonts w:ascii="Calibri" w:hAnsi="Calibri"/>
          <w:b/>
          <w:color w:val="2563EB"/>
          <w:sz w:val="26"/>
        </w:rPr>
        <w:t>Dynamic SVG Diagram Strategy Integration &amp; Platform Stabilization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75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Report Date: </w:t>
            </w:r>
            <w:r>
              <w:t>September 26, 2026</w:t>
            </w:r>
          </w:p>
        </w:tc>
        <w:tc>
          <w:tcPr>
            <w:tcW w:type="dxa" w:w="475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Current Milestone: </w:t>
            </w:r>
            <w:r>
              <w:t>SVG Strategy Integration (v1)</w:t>
            </w:r>
          </w:p>
        </w:tc>
      </w:tr>
      <w:tr>
        <w:tc>
          <w:tcPr>
            <w:tcW w:type="dxa" w:w="475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Monorepo Status: </w:t>
            </w:r>
            <w:r>
              <w:t>14/14 Packages Passing (0 Errors)</w:t>
            </w:r>
          </w:p>
        </w:tc>
        <w:tc>
          <w:tcPr>
            <w:tcW w:type="dxa" w:w="475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Target Phase: </w:t>
            </w:r>
            <w:r>
              <w:t>Browser Regression &amp; Publish Verification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2C59"/>
          <w:sz w:val="30"/>
        </w:rPr>
        <w:t>1. Executive Summary</w:t>
      </w:r>
    </w:p>
    <w:p>
      <w:pPr>
        <w:spacing w:after="160" w:line="276" w:lineRule="auto"/>
      </w:pPr>
      <w:r>
        <w:t>A first-class Dynamic SVG Diagram Strategy has been engineered, decoupled, and integrated into the platform alongside existing generation strategies (Variable, Dataset, Hybrid, and Manual). This enables authors to generate high-fidelity, parameterized visual questions featuring randomized visual variables, dynamic distractor options (A–D), formula-evaluated answer keys, and candidate-side responsive SVG rendering.</w:t>
      </w:r>
    </w:p>
    <w:p>
      <w:pPr>
        <w:spacing w:after="240" w:line="276" w:lineRule="auto"/>
      </w:pPr>
      <w:r>
        <w:t>Simultaneously, key infrastructure and platform stability issues were resolved—including a React.lazy() infinite re-render loop in the strategy authoring panel, Redis Docker networking connectivity, PostgreSQL schema synchronization, template validation edge-cases, and CORS preflight header compatibility for candidate test execution.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2C59"/>
          <w:sz w:val="30"/>
        </w:rPr>
        <w:t>2. Key Accomplishments &amp; Core Architecture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2563EB"/>
          <w:sz w:val="24"/>
        </w:rPr>
        <w:t>A. Dynamic SVG Strategy &amp; Authoring Suite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Decoupled Strategy Architecture: </w:t>
      </w:r>
      <w:r>
        <w:t>Completely separated SVG question generation from the legacy Manual Strategy, deprecating duplicate controls and establishing dedicated registry hooks and validation schemas.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Question/Stem SVG Editor: </w:t>
      </w:r>
      <w:r>
        <w:t>Engineered an integrated SVG authoring canvas supporting live parameter interpolation and syntax validation.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Visual Variable Builder: </w:t>
      </w:r>
      <w:r>
        <w:t>Supports 4 core dynamic variable primitives: Number (min/max/step), Choice (discrete token arrays), Color (hex/HSL palettes), and Rotation (0°-360° angular transformations).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Dynamic Options Matrix (A, B, C, D): </w:t>
      </w:r>
      <w:r>
        <w:t>Independent SVG option builders utilizing variation formulas to automatically synthesize distinct distractors alongside a correct-answer formula evaluator.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Validation &amp; Live Sandbox: </w:t>
      </w:r>
      <w:r>
        <w:t>Integrated real-time preview simulation allowing authors to test-run question generation with randomized variable permutations prior to publishing.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2563EB"/>
          <w:sz w:val="24"/>
        </w:rPr>
        <w:t>B. Candidate Execution &amp; Responsive Rendering Engine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Automated SVG Detection: </w:t>
      </w:r>
      <w:r>
        <w:t>Runtime engine automatically inspects stems, options, and explanation payloads to detect inline SVG markup vs standard text/markdown.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Responsive Layout Containers: </w:t>
      </w:r>
      <w:r>
        <w:t>Implemented aspect-ratio preserving wrappers (viewBox auto-scaling, max-width constraints) ensuring pixel-perfect rendering across mobile, tablet, and desktop viewports.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Sanitization &amp; Security: </w:t>
      </w:r>
      <w:r>
        <w:t>Implemented SVG attribute sanitization to prevent XSS execution while preserving valid gradients, markers, and transform attributes.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Type Schema Updates: </w:t>
      </w:r>
      <w:r>
        <w:t>Updated execution data transfer objects (DTOs) and TypeScript interfaces to natively support SVG/media metadata structures.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2563EB"/>
          <w:sz w:val="24"/>
        </w:rPr>
        <w:t>C. Infrastructure, Database &amp; Security Enhancements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PostgreSQL Schema Sync: </w:t>
      </w:r>
      <w:r>
        <w:t>Migrated database schema to support DYNAMIC_SVG enum values and JSONB configuration fields for variable models.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Backend Validation Fix: </w:t>
      </w:r>
      <w:r>
        <w:t>Updated API validation pipes to properly handle empty/null optional fields during template creation (resolving 400 Bad Request anomalies).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Docker Redis Networking: </w:t>
      </w:r>
      <w:r>
        <w:t>Configured internal bridge container network URLs (redis://redis-service:6379), resolving worker queue connection drops.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CORS Preflight Headers: </w:t>
      </w:r>
      <w:r>
        <w:t>Expanded CORS allowed headers to include Cache-Control, Pragma, and Expires for candidate execution polling endpoints.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2C59"/>
          <w:sz w:val="30"/>
        </w:rPr>
        <w:t>3. Defect Analysis &amp; Technical Resolutions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Issue / Defect</w:t>
            </w:r>
          </w:p>
        </w:tc>
        <w:tc>
          <w:tcPr>
            <w:tcW w:type="dxa" w:w="3456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456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React.lazy() Infinite Loading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Component import was instantiated inside the render loop, continuously allocating new component references and resetting React Suspense.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Hoisted React.lazy() to module scope and established memoized props boundary.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Docker Redis Connection Refused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Worker configuration defaulted to localhost:6379 instead of container network bridge address.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Standardized environment variable injection to resolve Redis container service alias.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Template Creation 400 Bad Request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Backend validation schema strictly rejected empty strings or null on optional template fields.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Configured validation DTOs with .optional().nullable().default(null) fallbacks.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CORS Preflight (OPTIONS) Failures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Candidate test client sent Cache-Control/Pragma headers not permitted by the API CORS whitelist.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Added Cache-Control, Pragma, and Expires to API CORS middleware headers.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2C59"/>
          <w:sz w:val="30"/>
        </w:rPr>
        <w:t>4. Implemented Reference Use Cases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Abstract Figure Rotation Sequence (Spatial Reasoning): </w:t>
      </w:r>
      <w:r>
        <w:t>Employs rotation variables and step increments (45°, 90°, 180°). Generates dynamic shape permutations where options represent rotational variations evaluated against the formula (rot + 90) % 360.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Microservices Ingress Architecture (System Design): </w:t>
      </w:r>
      <w:r>
        <w:t>Demonstrates dynamic topological SVG diagrams with variable ingress controllers (Nginx, Traefik, Envoy), dynamic service labels (Billing, Orders), and randomized color indicators.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2C59"/>
          <w:sz w:val="30"/>
        </w:rPr>
        <w:t>5. Verification &amp; Quality Assurance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Audit Scope</w:t>
            </w:r>
          </w:p>
        </w:tc>
        <w:tc>
          <w:tcPr>
            <w:tcW w:type="dxa" w:w="3744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Verification Method</w:t>
            </w:r>
          </w:p>
        </w:tc>
        <w:tc>
          <w:tcPr>
            <w:tcW w:type="dxa" w:w="2304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Monorepo TypeScript Validation</w:t>
            </w:r>
          </w:p>
        </w:tc>
        <w:tc>
          <w:tcPr>
            <w:tcW w:type="dxa" w:w="374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Turbo run typecheck across 14 workspace packages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0783C"/>
                <w:sz w:val="19"/>
              </w:rPr>
              <w:t>14/14 PASS (0 Errors)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Template Creation API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POST /api/v1/templates with SVG strategy payload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0783C"/>
                <w:sz w:val="19"/>
              </w:rPr>
              <w:t>201 Created</w:t>
            </w:r>
          </w:p>
        </w:tc>
      </w:tr>
      <w:tr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CORS Preflight (OPTIONS)</w:t>
            </w:r>
          </w:p>
        </w:tc>
        <w:tc>
          <w:tcPr>
            <w:tcW w:type="dxa" w:w="374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HTTP OPTIONS request simulating client headers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0783C"/>
                <w:sz w:val="19"/>
              </w:rPr>
              <w:t>204 No Content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Docker Container Health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docker compose up -d (API &amp; Worker services)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0783C"/>
                <w:sz w:val="19"/>
              </w:rPr>
              <w:t>All Services Healthy</w:t>
            </w:r>
          </w:p>
        </w:tc>
      </w:tr>
      <w:tr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SVG Candidate Responsive UI</w:t>
            </w:r>
          </w:p>
        </w:tc>
        <w:tc>
          <w:tcPr>
            <w:tcW w:type="dxa" w:w="374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</w:rPr>
              <w:t>Authoring sandbox &amp; candidate test execution review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color w:val="10783C"/>
                <w:sz w:val="19"/>
              </w:rPr>
              <w:t>Responsive &amp; Scaled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2C59"/>
          <w:sz w:val="30"/>
        </w:rPr>
        <w:t>6. Next Steps &amp; Action Roadmap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Complete End-to-End Browser Regression: </w:t>
      </w:r>
      <w:r>
        <w:t>Conduct automated and manual browser-level regression testing covering SVG template authoring, variable randomization, and multi-device candidate exam UI.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Validate Formula Calculation Boundaries: </w:t>
      </w:r>
      <w:r>
        <w:t>Test complex mathematical and rotational distractor formulas under boundary values and negative offsets.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Audit Assessment Republish Flow: </w:t>
      </w:r>
      <w:r>
        <w:t>Verify assessment generation, publishing, and candidate grading for assessments containing mixed generation strategies.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Expand Question Domain Templates: </w:t>
      </w:r>
      <w:r>
        <w:t>Author 10+ reference templates across electronics/circuit schematics, physics kinematics, and algorithmic logic diagrams.</w:t>
      </w:r>
    </w:p>
    <w:p>
      <w:pPr>
        <w:pStyle w:val="ListBullet"/>
        <w:spacing w:after="80" w:line="276" w:lineRule="auto"/>
      </w:pPr>
      <w:r>
        <w:rPr>
          <w:b/>
          <w:color w:val="1E293B"/>
        </w:rPr>
        <w:t xml:space="preserve">Monitor Connection Telemetry: </w:t>
      </w:r>
      <w:r>
        <w:t>Track Redis queue performance and CORS request headers under simulated candidate traffic load.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