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CHEERIO GROWTH GUIDE — PRODUCT SPECIFICATION &amp; BUSINESS CASE</w:t>
      </w:r>
    </w:p>
    <w:p>
      <w:pPr>
        <w:spacing w:after="100" w:before="0"/>
      </w:pPr>
      <w:r>
        <w:rPr>
          <w:rFonts w:ascii="Calibri" w:cs="Calibri" w:eastAsia="Calibri" w:hAnsi="Calibri"/>
          <w:color w:val="64748B"/>
          <w:sz w:val="18"/>
          <w:szCs w:val="18"/>
        </w:rPr>
        <w:t xml:space="preserve">Assignment B: "Users don't know what they can do on Cheerio" | Candidate Evaluation Document</w:t>
      </w:r>
    </w:p>
    <w:p>
      <w:pPr>
        <w:pStyle w:val="Heading1"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1: USER PERSONA, PAIN POINTS &amp; STRATEGIC PRIORITIZATION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1.1 Target User Persona: The Time-Constrained D2C Brand Owner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Name &amp; Brand: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Priya Sharma, Founder &amp; Operator of "Glow Theory" (Direct-to-Consumer Skincare Brand).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Business Scale: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2,450 customer profiles, 1,820 monthly active buyers, 24 WhatsApp broadcast campaigns sent to date.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Current Tool Adoption: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Uses WhatsApp Broadcasts exclusively. Zero adoption of chatbots, automations, or segmentation.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Technical Profile: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Non-technical operator. Values immediate conversion uplift and time savings over complex tool setups.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1.2 Primary Customer Pain Points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Repetitive Query Fatigue: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68% of inbound messages are repetitive questions (ingredients, order status, return policies), consuming 18+ hours/week.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Post-Click Drop-Off Blind Spot: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Broadcast clickers who fail to purchase receive no automated re-engagement, creating conversion drop-off.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Blanket Broadcast Fatigue: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Marketing messages are sent to the entire audience identically, reducing engagement and risking fatigue.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Cognitive Catalog Overload: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The merchant sees Cheerio as a simple campaign tool and fails to discover advanced modules without prescriptive guidance.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1.3 Three Priority Feature Pillars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Priority 1 — AI FAQ Chatbot: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24/7 WhatsApp concierge resolving product safety, shipping, and refund inquiries in &lt; 3s with human handoff.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Priority 2 — Follow-Up Automation: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Triggered nurture sequences recovering link clickers and cart abandoners across 1h to 72h delays.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Priority 3 — Smart CRM &amp; Segmentation: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Dynamic cohort classification grouping customers by intent and recency for targeted messaging.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1.4 Alternatives Considered &amp; Prioritization Rationale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Alternative A (Comprehensive Feature Directory):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Rejected. Passive directories demand user self-diagnosis, failing busy SMBs.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Alternative B (Mandatory Product Tooltips/Tour):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Rejected. Intrusive walkthroughs cause onboarding drop-off and friction.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Strategic Prioritization: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AI Chatbot selected as Tier 1 recommendation due to immediate 18h/week time-savings and minimal setup friction (~15 min). Follow-up Automation is Tier 2, and CRM Segmentation is Tier 3.</w:t>
      </w:r>
    </w:p>
    <w:p>
      <w:pPr>
        <w:pStyle w:val="Heading1"/>
        <w:pageBreakBefore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2: GROWTH GUIDE SOLUTION, COMPLETE USER JOURNEY &amp; SPECIFICATION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2.1 The Growth Guide Concept</w:t>
      </w:r>
    </w:p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Cheerio Growth Guide ("Your next best growth move") is an intelligent in-app activation copilot. It replaces generic feature exploration with diagnostic business goal discovery, prescriptive feature matching, interactive sandbox testing, and progress tracking.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2.2 Complete End-to-End User Journey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1 — Dashboard Opportunity Signal: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The merchant views a prominent Growth Guide banner on the dashboard highlighting operational bottlenecks (e.g., 2.4-hour response lag) with a direct CTA "Find my next growth opportunity".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2 — Diagnostic Onboarding Assessment: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 guided 3-question evaluation: Q1 Main Goal (Speed up support, Nurture leads, Segment audience); Q2 Operational Bottleneck (Repetitive answers, Manual follow-ups); Q3 Current Feature Stack.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3 — Contextual Recommendation: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Growth Guide presents the top-matched feature card detailing the problem it solves, why it fits Glow Theory, expected business benefits, required assets, and setup duration (~15 min illustrative).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4 — Multi-Step Setup Wizard: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 6-step guided wizard: 1) Select use cases; 2) Edit pre-loaded FAQ templates; 3) Configure fallback and simulated human handoff; 4) Test in real-time sandbox; 5) Review configuration; 6) Simulated activation.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5 — WhatsApp Sandbox Simulation: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Merchants enter casual test questions. The engine performs token scoring, displays bot answers, and verifies fallback behavior in real-time.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Step 6 — Activation &amp; Adoption Ledgering: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The module is activated in the demo environment, logged in session audit events, and reflected across dashboard status and analytics progress bars.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2.3 Scope Boundaries &amp; Strict Exclusions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In Scope (Prototype):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Diagnostic recommendation engine, interactive setup wizards for Chatbot, Automation, and CRM; WhatsApp test sandbox; local storage state persistence; adoption analytics tracking.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Explicit Exclusions: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Production Meta WhatsApp API provisioning; live SMS/WhatsApp message transmission; external paid LLM calls; live billing/subscription upgrades; access to real customer data.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2.4 Failure Recovery &amp; Edge Case Handling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Confidence Fallback: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Unmatched questions (score &lt; 2.5) trigger configurable fallback responses and simulated human handoff.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Form Validation: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Enforces non-empty FAQ questions, answers, and mandatory review confirmation before activation.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State Safety: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All configurations persist in localStorage; modal confirmation protects against accidental setup cancellation.</w:t>
      </w:r>
    </w:p>
    <w:p>
      <w:pPr>
        <w:pStyle w:val="Heading1"/>
        <w:pageBreakBefore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3: METRICS FRAMEWORK, EXPERIMENTATION &amp; GOVERNANCE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3.1 North Star Metric Definition</w:t>
      </w:r>
    </w:p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"Percentage of monthly active businesses that activate and meaningfully use at least one previously unused Cheerio feature within 30 days."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Meaningful Use Criteria: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Distinguishes true adoption from button clicks. Requires qualifying operational interactions: ≥ 10 chatbot-handled customer conversations, or ≥ 5 triggered follow-ups, or ≥ 1 targeted CRM campaign.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3.2 Three Supporting Metrics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1. Recommendation-to-Activation Rate: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% of businesses viewing a Growth Guide recommendation that complete setup (Target: 25.0% baseline).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2. 7-Day Meaningful Use Velocity: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% of newly activated businesses recording qualifying interactions within 7 days (Target: 60.0% of activations).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3. 30-Day Cohort Retention Lift: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Retention curve of activated accounts vs single-feature benchmark cohorts (Hypothesized lift: +2.0 percentage points).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3.3 Target Hypothesis &amp; Baseline Measurement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Hypothesized Lift: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Improve the North Star Metric by 10 percentage points within three months of rollout (e.g., from an illustrative 15% baseline to 25%).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Pre-Rollout Baseline Window: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 mandatory 2-week observational measurement window prior to rollout to record true organic multi-feature adoption across 5,000 active businesses.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3.4 Experimentation Methodology (A/B Test Design)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Sample Cohort: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5,000 monthly active Cheerio business accounts randomized into equal cohorts (N = 2,500 each).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Control Group (50%):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Standard Cheerio interface with existing static navigation and passive feature catalog.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Treatment Group (50%):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Cheerio Growth Guide embedded dashboard banner, diagnostic assessment, and interactive setup wizard.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Test Duration &amp; Power: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60-day evaluation post-baseline window. Minimum Detectable Effect (MDE) of 3.2 pp at 95% confidence (α = 0.05) and 80% statistical power (β = 0.20).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3.5 Guardrail Metrics &amp; Risk Boundaries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Deliverability Guardrail: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Automated follow-ups must not increase WhatsApp spam reports above 0.2% of delivered messages.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Support Queue Guardrail: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Chatbot escalations must not increase human support ticket backlog by more than 5%.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Customer Opt-Out Guardrail: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Broadcast unsubscribe rates must remain below 1.0% per cohort.</w:t>
      </w:r>
    </w:p>
    <w:p>
      <w:pPr>
        <w:pStyle w:val="Heading1"/>
        <w:pageBreakBefore/>
        <w:spacing w:after="80" w:before="120"/>
      </w:pPr>
      <w:r>
        <w:rPr>
          <w:rFonts w:ascii="Calibri" w:cs="Calibri" w:eastAsia="Calibri" w:hAnsi="Calibri"/>
          <w:b/>
          <w:bCs/>
          <w:color w:val="0F766E"/>
          <w:sz w:val="26"/>
          <w:szCs w:val="26"/>
        </w:rPr>
        <w:t xml:space="preserve">PAGE 4: BUSINESS CASE, FINANCIAL MODEL &amp; RISK MANAGEMENT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4.1 Financial Model Summary (Derived from Financial Workbook)</w:t>
      </w:r>
    </w:p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12-Month Rolling Projections across 5,000 baseline active businesses (Base Scenario from cheerio_growth_guide_financial_model.xlsx):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4"/>
        <w:gridCol w:w="2223"/>
        <w:gridCol w:w="2223"/>
        <w:gridCol w:w="2425"/>
      </w:tblGrid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Metric Category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Monthly Avg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Full Year (12M)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shd w:fill="0D948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Financial &amp; Operational Logic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Active Accounts (2% MoM growth)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5,584 accounts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5,000 to 6,242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Starting Cheerio active business universe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Feature Activations (25% rate)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391 / month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4,691 activations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Merchants completing feature setup wizards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Total AI &amp; Infrastructure Cost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₹1,09,833 / mo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₹13,18,000 / yr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OpenAI GPT-4o-mini + hosting + overhead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Cost Per Feature Activation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₹281 / activation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₹281 average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Total program cost divided by activations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Incremental Retained Accounts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8 accounts / mo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96 accounts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Adopting accounts × +2.0 pp retention lift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Incremental Retained Revenue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₹2,16,667 / mo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₹26,00,000 / yr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Retained accounts × ₹2,999 monthly ARPU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Net Modeled Program Benefit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₹1,06,833 / mo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₹12,82,000 / yr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Retained Revenue minus Program Cost</w:t>
            </w:r>
          </w:p>
        </w:tc>
      </w:tr>
      <w:tr>
        <w:tc>
          <w:tcPr>
            <w:tcW w:type="pct" w:w="16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1E293B"/>
                <w:sz w:val="17"/>
                <w:szCs w:val="17"/>
              </w:rPr>
              <w:t xml:space="preserve">Program Contribution Margin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49.3%</w:t>
            </w:r>
          </w:p>
        </w:tc>
        <w:tc>
          <w:tcPr>
            <w:tcW w:type="pct" w:w="11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49.3% weighted</w:t>
            </w:r>
          </w:p>
        </w:tc>
        <w:tc>
          <w:tcPr>
            <w:tcW w:type="pct" w:w="1200"/>
            <w:tcBorders>
              <w:top w:val="single" w:color="E2E8F0" w:sz="1"/>
              <w:left w:val="single" w:color="E2E8F0" w:sz="1"/>
              <w:bottom w:val="single" w:color="E2E8F0" w:sz="1"/>
              <w:right w:val="single" w:color="E2E8F0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17"/>
                <w:szCs w:val="17"/>
              </w:rPr>
              <w:t xml:space="preserve">Strong positive return on investment</w:t>
            </w:r>
          </w:p>
        </w:tc>
      </w:tr>
    </w:tbl>
    <w:p>
      <w:pPr>
        <w:spacing w:after="40" w:before="40"/>
      </w:pPr>
      <w:r>
        <w:rPr>
          <w:rFonts w:ascii="Calibri" w:cs="Calibri" w:eastAsia="Calibri" w:hAnsi="Calibri"/>
          <w:color w:val="334155"/>
          <w:sz w:val="18"/>
          <w:szCs w:val="18"/>
        </w:rPr>
        <w:t xml:space="preserve">Methodology Disclosure: Retention revenue is calculated strictly on an expected-value basis (Adopting Businesses × Hypothesized Retention Lift in pp × Monthly Plan ARPU). It avoids double-counting previously retained cohorts.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4.2 AI Token Economics &amp; Provider Pricing Benchmark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Model Selected: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OpenAI GPT-4o-mini (Official verified pricing: $0.150/1M input tokens, $0.600/1M output tokens; USD/INR FX peg ₹84.00).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Interaction Sizing: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650 input tokens + 250 output tokens across an average of 18 monthly interactions per adopting business.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Blended Token Cost: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₹0.021 per interaction (~₹0.38 per active business/month), representing less than 0.2% of customer lifetime value.</w:t>
      </w:r>
    </w:p>
    <w:p>
      <w:pPr>
        <w:pStyle w:val="Heading2"/>
        <w:spacing w:after="40" w:before="100"/>
      </w:pPr>
      <w:r>
        <w:rPr>
          <w:rFonts w:ascii="Calibri" w:cs="Calibri" w:eastAsia="Calibri" w:hAnsi="Calibri"/>
          <w:b/>
          <w:bCs/>
          <w:color w:val="1E293B"/>
          <w:sz w:val="21"/>
          <w:szCs w:val="21"/>
        </w:rPr>
        <w:t xml:space="preserve">4.3 Key Risks &amp; Mitigation Matrix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Recommendation Fatigue: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Suppressed recommendations for 14 days after activation; smart dismissal controls.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Chatbot Misinformation: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Strict FAQ-grounded matching; automated fallback when semantic score is below 2.5.</w:t>
      </w:r>
    </w:p>
    <w:p>
      <w:pPr>
        <w:pStyle w:val="ListParagraph"/>
        <w:numPr>
          <w:ilvl w:val="0"/>
          <w:numId w:val="1"/>
        </w:numPr>
        <w:spacing w:after="20" w:before="20"/>
      </w:pPr>
      <w:r>
        <w:rPr>
          <w:rFonts w:ascii="Calibri" w:cs="Calibri" w:eastAsia="Calibri" w:hAnsi="Calibri"/>
          <w:b/>
          <w:bCs/>
          <w:color w:val="1E293B"/>
          <w:sz w:val="18"/>
          <w:szCs w:val="18"/>
        </w:rPr>
        <w:t xml:space="preserve">Retention Lift Sensitivity: </w:t>
      </w:r>
      <w:r>
        <w:rPr>
          <w:rFonts w:ascii="Calibri" w:cs="Calibri" w:eastAsia="Calibri" w:hAnsi="Calibri"/>
          <w:color w:val="334155"/>
          <w:sz w:val="18"/>
          <w:szCs w:val="18"/>
        </w:rPr>
        <w:t xml:space="preserve">Break-even resilience down to +1.0 pp retention lift (model maintains positive ROI).</w:t>
      </w:r>
    </w:p>
    <w:sectPr>
      <w:headerReference w:type="default" r:id="rId6"/>
      <w:footerReference w:type="default" r:id="rId7"/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94A3B8"/>
        <w:sz w:val="16"/>
        <w:szCs w:val="16"/>
      </w:rPr>
      <w:t xml:space="preserve">Cheerio Growth Guide | Take-Home Assignment 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334155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2026-10-12T11:42:32.554Z</dcterms:created>
  <dcterms:modified xsi:type="dcterms:W3CDTF">2026-10-12T11:42:32.555Z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