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Last updated: 5 Aug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Communication and Technical Writing (lecture-2)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•7 C's of communication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• Clear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• Correct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• Complete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• Concrete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• Concise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• Consideration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• Courteous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Various types of communication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•Written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•Oral + Verbal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•Body Gestures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•Electronic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Each of the above types can be divided into below classes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•One to 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•One to Many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Technical Communication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• Technical Writing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• Thesis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• Paper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• Report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• Memo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• Proposal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• Tech. Presentation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• Progress Report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• Viva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• Project review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• Seminar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• Lecture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General Rules: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Fact-1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Technical Communication is an ART.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Fact-2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Supervised Practice makes you better.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Fact-3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Writing and Presentation is for OTHER PERSONS - not for yourself.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Fact-4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Technical writing or presentation is for some GAIN.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(Gain = M.Tech, PhD, job, Project money, promotion, fame, recognition, award)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Fact-5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Know / Understand the SUBJECT THOROUGHLY before Writing / Presentation.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Lecture 3: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Fact-6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 CHEATING.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Fact-7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Speak the truth, Say nice things, Do not speak the truth that is not nice.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Free softwares for writing/presentation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Publish in a journal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reporting new work, significant work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Job requirement in teaching and research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prestige, reputation, promotion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Journal papers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More prestige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More importance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Archived for future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What is a journal?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Regularly published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Soft bound collection of articles/papers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Devoted to one subject area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High quality professional articles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Each journal = own style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team of Editors - well known professionals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Each articles is reviewed by 2-5 reviewers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Reviewers = well known professionals selected by editors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Articles = letters (1-3 pages), reviews ( invited and many pages), invited or contributed articles (8-10 pages)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Identified by a volume no. , Issue no. , Page no., Year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Archived in libraries according to volume numbers or year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