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2172B"/>
          <w:sz w:val="52"/>
          <w:szCs w:val="52"/>
        </w:rPr>
        <w:t xml:space="preserve">ContextIQ</w:t>
      </w:r>
    </w:p>
    <w:p>
      <w:pPr>
        <w:spacing w:after="260"/>
      </w:pPr>
      <w:r>
        <w:rPr>
          <w:b/>
          <w:bCs/>
          <w:color w:val="C97A2B"/>
          <w:sz w:val="24"/>
          <w:szCs w:val="24"/>
        </w:rPr>
        <w:t xml:space="preserve">App Flow Document — Screens, User Flows &amp; Navigation Logic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Product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ContextIQ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App Flow Document — Screens &amp; Navigation Logic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Companion docs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ContextIQ PRD v1.0, ContextIQ TRD v1.0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Owner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Samarth Sharma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Status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Draft v1.0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August 16, 2026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1. Purpose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This document maps every screen in ContextIQ, how users move between them, and the rules that govern navigation — authentication gates, role-based visibility, and redirect logic. It is the reference for building routing and screen flow correctly, alongside the PRD (what to build) and TRD (how the backend supports it).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2. Screen Inventory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All screens in the product, grouped by whether they sit outside or inside the authenticated app shell.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600"/>
        <w:gridCol w:w="4850"/>
      </w:tblGrid>
      <w:tr>
        <w:trPr>
          <w:tblHeader/>
        </w:trPr>
        <w:tc>
          <w:tcPr>
            <w:tcW w:type="dxa" w:w="165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6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85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</w:t>
            </w:r>
          </w:p>
        </w:tc>
        <w:tc>
          <w:tcPr>
            <w:tcW w:type="dxa" w:w="4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Public marketing page; entry point for signup</w:t>
            </w:r>
          </w:p>
        </w:tc>
      </w:tr>
      <w:tr>
        <w:tc>
          <w:tcPr>
            <w:tcW w:type="dxa" w:w="165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Sign up</w:t>
            </w:r>
          </w:p>
        </w:tc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/signup</w:t>
            </w:r>
          </w:p>
        </w:tc>
        <w:tc>
          <w:tcPr>
            <w:tcW w:type="dxa" w:w="485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Create a new tenant workspace + owner account</w:t>
            </w:r>
          </w:p>
        </w:tc>
      </w:tr>
      <w:tr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Log in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/login</w:t>
            </w:r>
          </w:p>
        </w:tc>
        <w:tc>
          <w:tcPr>
            <w:tcW w:type="dxa" w:w="4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Authenticate an existing user</w:t>
            </w:r>
          </w:p>
        </w:tc>
      </w:tr>
      <w:tr>
        <w:tc>
          <w:tcPr>
            <w:tcW w:type="dxa" w:w="165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Onboarding wizard</w:t>
            </w:r>
          </w:p>
        </w:tc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/onboarding</w:t>
            </w:r>
          </w:p>
        </w:tc>
        <w:tc>
          <w:tcPr>
            <w:tcW w:type="dxa" w:w="485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First-run flow: name workspace, add first source, preview chatbot</w:t>
            </w:r>
          </w:p>
        </w:tc>
      </w:tr>
      <w:tr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Dashboard — Overview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/app/overview</w:t>
            </w:r>
          </w:p>
        </w:tc>
        <w:tc>
          <w:tcPr>
            <w:tcW w:type="dxa" w:w="4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Landing screen after login: key stats + recent activity</w:t>
            </w:r>
          </w:p>
        </w:tc>
      </w:tr>
      <w:tr>
        <w:tc>
          <w:tcPr>
            <w:tcW w:type="dxa" w:w="165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Sources</w:t>
            </w:r>
          </w:p>
        </w:tc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/app/sources</w:t>
            </w:r>
          </w:p>
        </w:tc>
        <w:tc>
          <w:tcPr>
            <w:tcW w:type="dxa" w:w="485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List, add, and remove knowledge sources (PDFs/URLs)</w:t>
            </w:r>
          </w:p>
        </w:tc>
      </w:tr>
      <w:tr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Source detail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/app/sources/:id</w:t>
            </w:r>
          </w:p>
        </w:tc>
        <w:tc>
          <w:tcPr>
            <w:tcW w:type="dxa" w:w="4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Ingestion status, chunk count, re-index / delete actions</w:t>
            </w:r>
          </w:p>
        </w:tc>
      </w:tr>
      <w:tr>
        <w:tc>
          <w:tcPr>
            <w:tcW w:type="dxa" w:w="165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Chatbot config</w:t>
            </w:r>
          </w:p>
        </w:tc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/app/chatbot</w:t>
            </w:r>
          </w:p>
        </w:tc>
        <w:tc>
          <w:tcPr>
            <w:tcW w:type="dxa" w:w="485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Configure widget appearance, greeting, behavior</w:t>
            </w:r>
          </w:p>
        </w:tc>
      </w:tr>
      <w:tr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Test chat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/app/chatbot/test</w:t>
            </w:r>
          </w:p>
        </w:tc>
        <w:tc>
          <w:tcPr>
            <w:tcW w:type="dxa" w:w="4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Internal sandbox to test the bot before going live</w:t>
            </w:r>
          </w:p>
        </w:tc>
      </w:tr>
      <w:tr>
        <w:tc>
          <w:tcPr>
            <w:tcW w:type="dxa" w:w="165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Analytics</w:t>
            </w:r>
          </w:p>
        </w:tc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/app/analytics</w:t>
            </w:r>
          </w:p>
        </w:tc>
        <w:tc>
          <w:tcPr>
            <w:tcW w:type="dxa" w:w="485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Chat volume, token usage, accuracy, latency dashboards</w:t>
            </w:r>
          </w:p>
        </w:tc>
      </w:tr>
      <w:tr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Team &amp; roles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/app/team</w:t>
            </w:r>
          </w:p>
        </w:tc>
        <w:tc>
          <w:tcPr>
            <w:tcW w:type="dxa" w:w="4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Invite users, assign roles (owner only manages this fully)</w:t>
            </w:r>
          </w:p>
        </w:tc>
      </w:tr>
      <w:tr>
        <w:tc>
          <w:tcPr>
            <w:tcW w:type="dxa" w:w="165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Billing</w:t>
            </w:r>
          </w:p>
        </w:tc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/app/billing</w:t>
            </w:r>
          </w:p>
        </w:tc>
        <w:tc>
          <w:tcPr>
            <w:tcW w:type="dxa" w:w="485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Current plan, usage against limit, invoices, upgrade/downgrade</w:t>
            </w:r>
          </w:p>
        </w:tc>
      </w:tr>
      <w:tr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Settings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/app/settings</w:t>
            </w:r>
          </w:p>
        </w:tc>
        <w:tc>
          <w:tcPr>
            <w:tcW w:type="dxa" w:w="4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Workspace name, API keys, danger zone (delete workspace)</w:t>
            </w:r>
          </w:p>
        </w:tc>
      </w:tr>
      <w:tr>
        <w:tc>
          <w:tcPr>
            <w:tcW w:type="dxa" w:w="165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Embed snippet</w:t>
            </w:r>
          </w:p>
        </w:tc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/app/embed</w:t>
            </w:r>
          </w:p>
        </w:tc>
        <w:tc>
          <w:tcPr>
            <w:tcW w:type="dxa" w:w="485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Copyable script tag to add the widget to the tenant's site</w:t>
            </w:r>
          </w:p>
        </w:tc>
      </w:tr>
      <w:tr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Chat widget (end-user)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embedded, not a route</w:t>
            </w:r>
          </w:p>
        </w:tc>
        <w:tc>
          <w:tcPr>
            <w:tcW w:type="dxa" w:w="4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The deployed chatbot on the tenant's own website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3. Site Map — Navigation Tree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The authenticated app lives under /app and shares a persistent sidebar; the marketing site and auth screens sit outside it.</w:t>
      </w:r>
    </w:p>
    <w:p>
      <w:pPr>
        <w:pBdr>
          <w:top w:val="single" w:color="1D2130" w:sz="6"/>
          <w:bottom w:val="single" w:color="1D2130" w:sz="6"/>
          <w:left w:val="single" w:color="1D2130" w:sz="6"/>
          <w:right w:val="single" w:color="1D2130" w:sz="6"/>
        </w:pBdr>
        <w:shd w:fill="1D2130" w:val="clear"/>
        <w:spacing w:after="200" w:before="80"/>
      </w:pPr>
      <w:r>
        <w:rPr>
          <w:rFonts w:ascii="Consolas" w:cs="Consolas" w:eastAsia="Consolas" w:hAnsi="Consolas"/>
          <w:color w:val="D7DCEF"/>
          <w:sz w:val="18"/>
          <w:szCs w:val="18"/>
        </w:rPr>
        <w:t xml:space="preserve">/  (public landing)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├─ /signup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├─ /login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└─ /onboarding  (first login only)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        └─ completes into → /app/overview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/app  (authenticated shell — persistent sidebar)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├─ /app/overview        (default landing after login)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├─ /app/sources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│    └─ /app/sources/:id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├─ /app/chatbot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│    └─ /app/chatbot/test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├─ /app/analytics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├─ /app/embed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├─ /app/team            (owner/admin only)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├─ /app/billing         (owner only)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└─ /app/settings</w:t>
      </w:r>
      <w:r>
        <w:rPr>
          <w:rFonts w:ascii="Consolas" w:cs="Consolas" w:eastAsia="Consolas" w:hAnsi="Consolas"/>
          <w:color w:val="D7DCEF"/>
          <w:sz w:val="18"/>
          <w:szCs w:val="18"/>
        </w:rPr>
        <w:br/>
        <w:t xml:space="preserve">        └─ danger zone: delete workspace (owner only)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4. Core User Flows</w:t>
      </w:r>
    </w:p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4.1 Sign up → first working chatbot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User lands on / and clicks “Start free.”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Fills signup form (name, email, password, workspace name) → POST /api/auth/signup creates the tenant + owner user.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JWT issued; user is redirected to /onboarding (not directly to the dashboard).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Onboarding step 1: name the chatbot and pick a purpose (support, docs, internal).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Onboarding step 2: upload a PDF or paste a URL — triggers the ingestion pipeline.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Onboarding step 3: live preview — user asks the bot a test question and sees a grounded answer.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On completion, onboarding flag is set on the tenant; user is redirected to /app/overview.</w:t>
      </w:r>
    </w:p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4.2 Returning user login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User visits /login, submits credentials → POST /api/auth/login.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If onboarding was already completed → redirect to /app/overview.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If onboarding was left incomplete → redirect back to /onboarding at the step they left off.</w:t>
      </w:r>
    </w:p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4.3 Add a new knowledge source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1E2233"/>
          <w:sz w:val="21"/>
          <w:szCs w:val="21"/>
        </w:rPr>
        <w:t xml:space="preserve">From /app/sources, user clicks “Add source” and chooses PDF or URL.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1E2233"/>
          <w:sz w:val="21"/>
          <w:szCs w:val="21"/>
        </w:rPr>
        <w:t xml:space="preserve">File/URL submitted → POST /api/sources; source appears in the list with status “processing.”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1E2233"/>
          <w:sz w:val="21"/>
          <w:szCs w:val="21"/>
        </w:rPr>
        <w:t xml:space="preserve">User may navigate away — processing continues server-side; status updates live via polling or websocket.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1E2233"/>
          <w:sz w:val="21"/>
          <w:szCs w:val="21"/>
        </w:rPr>
        <w:t xml:space="preserve">Clicking the source opens /app/sources/:id showing chunk count and an option to re-index or delete.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1E2233"/>
          <w:sz w:val="21"/>
          <w:szCs w:val="21"/>
        </w:rPr>
        <w:t xml:space="preserve">On delete, a confirmation modal appears before vectors are removed from Pinecone.</w:t>
      </w:r>
    </w:p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4.4 Test and configure the chatbot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1E2233"/>
          <w:sz w:val="21"/>
          <w:szCs w:val="21"/>
        </w:rPr>
        <w:t xml:space="preserve">From /app/chatbot, user edits name, greeting, and color — changes save inline, no separate “save” page.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1E2233"/>
          <w:sz w:val="21"/>
          <w:szCs w:val="21"/>
        </w:rPr>
        <w:t xml:space="preserve">“Test chat” opens /app/chatbot/test, a sandboxed conversation using the same pipeline as production.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1E2233"/>
          <w:sz w:val="21"/>
          <w:szCs w:val="21"/>
        </w:rPr>
        <w:t xml:space="preserve">From there, user can jump to /app/embed to copy the install snippet for their website.</w:t>
      </w:r>
    </w:p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4.5 Reviewing analytics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1E2233"/>
          <w:sz w:val="21"/>
          <w:szCs w:val="21"/>
        </w:rPr>
        <w:t xml:space="preserve">User opens /app/analytics; default view is the last 7 days.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1E2233"/>
          <w:sz w:val="21"/>
          <w:szCs w:val="21"/>
        </w:rPr>
        <w:t xml:space="preserve">User can filter by date range; charts and stat cards update without a full page navigation.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1E2233"/>
          <w:sz w:val="21"/>
          <w:szCs w:val="21"/>
        </w:rPr>
        <w:t xml:space="preserve">Viewer-role users land here directly after login instead of /app/overview, since it's their only real screen.</w:t>
      </w:r>
    </w:p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4.6 Managing billing (owner only)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color w:val="1E2233"/>
          <w:sz w:val="21"/>
          <w:szCs w:val="21"/>
        </w:rPr>
        <w:t xml:space="preserve">/app/billing shows current plan, a usage bar against the token limit, and upcoming invoice date.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color w:val="1E2233"/>
          <w:sz w:val="21"/>
          <w:szCs w:val="21"/>
        </w:rPr>
        <w:t xml:space="preserve">“Upgrade plan” opens a plan comparison modal → confirms through Stripe's hosted checkout → returns to /app/billing on success.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color w:val="1E2233"/>
          <w:sz w:val="21"/>
          <w:szCs w:val="21"/>
        </w:rPr>
        <w:t xml:space="preserve">If a tenant exceeds their limit, a persistent banner appears across all /app/* screens (not just billing) until resolved.</w:t>
      </w:r>
    </w:p>
    <w:p>
      <w:pPr>
        <w:pStyle w:val="Heading2"/>
        <w:spacing w:after="110" w:before="260"/>
      </w:pPr>
      <w:r>
        <w:rPr>
          <w:b/>
          <w:bCs/>
          <w:color w:val="12172B"/>
          <w:sz w:val="22"/>
          <w:szCs w:val="22"/>
        </w:rPr>
        <w:t xml:space="preserve">4.7 End-user chat flow (on the tenant's website)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color w:val="1E2233"/>
          <w:sz w:val="21"/>
          <w:szCs w:val="21"/>
        </w:rPr>
        <w:t xml:space="preserve">Visitor lands on the tenant's site; embedded widget script loads the chat bubble.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color w:val="1E2233"/>
          <w:sz w:val="21"/>
          <w:szCs w:val="21"/>
        </w:rPr>
        <w:t xml:space="preserve">Visitor clicks the bubble → chat window opens with the configured greeting.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color w:val="1E2233"/>
          <w:sz w:val="21"/>
          <w:szCs w:val="21"/>
        </w:rPr>
        <w:t xml:space="preserve">Visitor sends a message → POST /api/chat — answer streams back with optional “source” reference.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color w:val="1E2233"/>
          <w:sz w:val="21"/>
          <w:szCs w:val="21"/>
        </w:rPr>
        <w:t xml:space="preserve">Conversation memory persists for the browser session; closing and reopening the widget keeps recent context.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color w:val="1E2233"/>
          <w:sz w:val="21"/>
          <w:szCs w:val="21"/>
        </w:rPr>
        <w:t xml:space="preserve">If the tenant is over its plan limit, the widget shows a graceful “currently unavailable” message instead of an error.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5. Navigation Logic — Role-Based Visibility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The sidebar renders conditionally based on the role claim in the user's JWT. Restricted screens are not just hidden from navigation — the route itself checks the role server-side, so a hidden link can't be bypassed by typing the URL directly.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700"/>
      </w:tblGrid>
      <w:tr>
        <w:trPr>
          <w:tblHeader/>
        </w:trPr>
        <w:tc>
          <w:tcPr>
            <w:tcW w:type="dxa" w:w="18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6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Visible nav items</w:t>
            </w:r>
          </w:p>
        </w:tc>
        <w:tc>
          <w:tcPr>
            <w:tcW w:type="dxa" w:w="37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Hidden / blocked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Owner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All screens including Billing, Team, Settings (danger zone)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— (full access)</w:t>
            </w:r>
          </w:p>
        </w:tc>
      </w:tr>
      <w:tr>
        <w:tc>
          <w:tcPr>
            <w:tcW w:type="dxa" w:w="18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Admin</w:t>
            </w:r>
          </w:p>
        </w:tc>
        <w:tc>
          <w:tcPr>
            <w:tcW w:type="dxa" w:w="3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Overview, Sources, Chatbot, Analytics, Embed, Settings (basic)</w:t>
            </w:r>
          </w:p>
        </w:tc>
        <w:tc>
          <w:tcPr>
            <w:tcW w:type="dxa" w:w="37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Billing, Team management, workspace deletion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Editor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Overview, Sources, Chatbot config, Test chat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Analytics (read-only summary instead), Billing, Team, Settings</w:t>
            </w:r>
          </w:p>
        </w:tc>
      </w:tr>
      <w:tr>
        <w:tc>
          <w:tcPr>
            <w:tcW w:type="dxa" w:w="18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Viewer</w:t>
            </w:r>
          </w:p>
        </w:tc>
        <w:tc>
          <w:tcPr>
            <w:tcW w:type="dxa" w:w="3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Overview, Analytics (read-only)</w:t>
            </w:r>
          </w:p>
        </w:tc>
        <w:tc>
          <w:tcPr>
            <w:tcW w:type="dxa" w:w="37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Sources, Chatbot config, Billing, Team, Settings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6. Route Guards &amp; Redirect Rules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900"/>
      </w:tblGrid>
      <w:tr>
        <w:trPr>
          <w:tblHeader/>
        </w:trPr>
        <w:tc>
          <w:tcPr>
            <w:tcW w:type="dxa" w:w="26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26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Redirect target</w:t>
            </w:r>
          </w:p>
        </w:tc>
        <w:tc>
          <w:tcPr>
            <w:tcW w:type="dxa" w:w="3900"/>
            <w:shd w:fill="1217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No JWT / expired token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/login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Applies to any /app/* route</w:t>
            </w:r>
          </w:p>
        </w:tc>
      </w:tr>
      <w:tr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Valid JWT, onboarding incomplete</w:t>
            </w:r>
          </w:p>
        </w:tc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/onboarding</w:t>
            </w:r>
          </w:p>
        </w:tc>
        <w:tc>
          <w:tcPr>
            <w:tcW w:type="dxa" w:w="3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Forces first-run flow before dashboard access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Valid JWT, role lacks permission for route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/app/overview + inline notice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Prevents deep-linking around role restrictions</w:t>
            </w:r>
          </w:p>
        </w:tc>
      </w:tr>
      <w:tr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Tenant over plan token limit</w:t>
            </w:r>
          </w:p>
        </w:tc>
        <w:tc>
          <w:tcPr>
            <w:tcW w:type="dxa" w:w="26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Banner + chat disabled, nav unaffected</w:t>
            </w:r>
          </w:p>
        </w:tc>
        <w:tc>
          <w:tcPr>
            <w:tcW w:type="dxa" w:w="3900"/>
            <w:shd w:fill="F4F5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Dashboard stays accessible; only live chat responses pause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233"/>
                <w:sz w:val="19"/>
                <w:szCs w:val="19"/>
              </w:rPr>
              <w:t xml:space="preserve">Already logged in, visits /login or /signup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/app/overview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E2233"/>
                <w:sz w:val="19"/>
                <w:szCs w:val="19"/>
              </w:rPr>
              <w:t xml:space="preserve">Prevents re-auth loop for active sessions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7. Screen States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Every data-driven screen (Sources, Analytics, Team) follows the same three-state pattern so behavior is predictable across the app.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b/>
          <w:bCs/>
          <w:color w:val="12172B"/>
          <w:sz w:val="21"/>
          <w:szCs w:val="21"/>
        </w:rPr>
        <w:t xml:space="preserve">Loading: </w:t>
      </w:r>
      <w:r>
        <w:rPr>
          <w:color w:val="1E2233"/>
          <w:sz w:val="21"/>
          <w:szCs w:val="21"/>
        </w:rPr>
        <w:t xml:space="preserve">skeleton placeholders matching the eventual layout, not a blocking spinner, so the shell (sidebar/nav) stays interactive.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b/>
          <w:bCs/>
          <w:color w:val="12172B"/>
          <w:sz w:val="21"/>
          <w:szCs w:val="21"/>
        </w:rPr>
        <w:t xml:space="preserve">Empty: </w:t>
      </w:r>
      <w:r>
        <w:rPr>
          <w:color w:val="1E2233"/>
          <w:sz w:val="21"/>
          <w:szCs w:val="21"/>
        </w:rPr>
        <w:t xml:space="preserve">a direct call to action (e.g. “No sources yet — add your first PDF or URL”), never just a blank table.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b/>
          <w:bCs/>
          <w:color w:val="12172B"/>
          <w:sz w:val="21"/>
          <w:szCs w:val="21"/>
        </w:rPr>
        <w:t xml:space="preserve">Error: </w:t>
      </w:r>
      <w:r>
        <w:rPr>
          <w:color w:val="1E2233"/>
          <w:sz w:val="21"/>
          <w:szCs w:val="21"/>
        </w:rPr>
        <w:t xml:space="preserve">a plain-language explanation of what failed and a retry action; the interface never silently fails a navigation.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8. Notes on Deep Linking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color w:val="1E2233"/>
          <w:sz w:val="21"/>
          <w:szCs w:val="21"/>
        </w:rPr>
        <w:t xml:space="preserve">Every /app/* screen must be directly linkable and reload correctly — no navigation should depend purely on client-side state set by a previous screen.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color w:val="1E2233"/>
          <w:sz w:val="21"/>
          <w:szCs w:val="21"/>
        </w:rPr>
        <w:t xml:space="preserve">Source detail, team, and billing screens use the resource ID or tenant context from the URL/JWT, not from in-memory state, so a shared or bookmarked link behaves correctly.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color w:val="1E2233"/>
          <w:sz w:val="21"/>
          <w:szCs w:val="21"/>
        </w:rPr>
        <w:t xml:space="preserve">Onboarding step is tracked server-side on the tenant record, not in local storage, so an interrupted onboarding resumes correctly on any device.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72"/>
        <w:sz w:val="16"/>
        <w:szCs w:val="16"/>
      </w:rPr>
      <w:t xml:space="preserve">Page </w:t>
    </w:r>
    <w:r>
      <w:rPr>
        <w:color w:val="5B61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172"/>
        <w:sz w:val="16"/>
        <w:szCs w:val="16"/>
      </w:rPr>
      <w:t xml:space="preserve"> of </w:t>
    </w:r>
    <w:r>
      <w:rPr>
        <w:color w:val="5B61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AE3" w:sz="6" w:space="4"/>
      </w:pBdr>
    </w:pPr>
    <w:r>
      <w:rPr>
        <w:b/>
        <w:bCs/>
        <w:color w:val="12172B"/>
        <w:sz w:val="17"/>
        <w:szCs w:val="17"/>
      </w:rPr>
      <w:t xml:space="preserve">ContextIQ</w:t>
    </w:r>
    <w:r>
      <w:rPr>
        <w:color w:val="5B6172"/>
        <w:sz w:val="17"/>
        <w:szCs w:val="17"/>
      </w:rPr>
      <w:t xml:space="preserve">   —   App Flow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2026-08-16T13:27:46.585Z</dcterms:created>
  <dcterms:modified xsi:type="dcterms:W3CDTF">2026-08-16T13:27:46.586Z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