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172B"/>
          <w:sz w:val="52"/>
          <w:szCs w:val="52"/>
        </w:rPr>
        <w:t xml:space="preserve">ContextIQ</w:t>
      </w:r>
    </w:p>
    <w:p>
      <w:pPr>
        <w:spacing w:after="260"/>
      </w:pPr>
      <w:r>
        <w:rPr>
          <w:b/>
          <w:bCs/>
          <w:color w:val="C97A2B"/>
          <w:sz w:val="24"/>
          <w:szCs w:val="24"/>
        </w:rPr>
        <w:t xml:space="preserve">Backend Schema Document — MongoDB Collections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Product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ContextIQ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Backend Schema Document (MongoDB)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Companion docs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ContextIQ PRD v1.0, TRD v1.0, App Flow v1.0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Owner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Samarth Sharma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Status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Draft v1.0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August 16, 2026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1. Purpose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This document defines every MongoDB collection behind ContextIQ: fields, types, relationships, and indexes. It is the schema companion to the TRD's data-model summary, expanded to full field-level detail for implementation. Actual document embeddings live in Pinecone, not MongoDB — MongoDB stores their metadata and everything else the product needs.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2. Entity Relationship Overview</w:t>
      </w:r>
    </w:p>
    <w:p>
      <w:pPr>
        <w:pBdr>
          <w:top w:val="single" w:color="1D2130" w:sz="6"/>
          <w:bottom w:val="single" w:color="1D2130" w:sz="6"/>
          <w:left w:val="single" w:color="1D2130" w:sz="6"/>
          <w:right w:val="single" w:color="1D2130" w:sz="6"/>
        </w:pBdr>
        <w:shd w:fill="1D2130" w:val="clear"/>
        <w:spacing w:after="200" w:before="80"/>
      </w:pPr>
      <w:r>
        <w:rPr>
          <w:rFonts w:ascii="Consolas" w:cs="Consolas" w:eastAsia="Consolas" w:hAnsi="Consolas"/>
          <w:color w:val="D7DCEF"/>
          <w:sz w:val="17"/>
          <w:szCs w:val="17"/>
        </w:rPr>
        <w:t xml:space="preserve">tenants (1) ───&lt; (many) users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 │───&lt; sources ───&lt; chunks   (chunk vectors live in Pinecone)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 │───&lt; chats ────&lt; messages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 │───&lt; usage_events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 │───&lt; billing_events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 └───&lt; invites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Every collection except tenants carries tenantId and is always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queried with it — this is the enforcement point for tenant isolation.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3. Collections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3.1 tenants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The root entity. One document per business workspace.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Workspace / business name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slug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URL-safe unique identifier, used for embed script scoping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ownerId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users)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User who created the workspace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plan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free | starter | growth | scale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stripeCustomerId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Stripe customer reference for billing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tokenLimit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Monthly token allowance for the current plan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tokenUsed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Tokens consumed in the current billing cycle, default 0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active | paused | cancelled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onboardingCompleted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Default false; gates redirect to /onboarding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pineconeNamespace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Matches slug; isolates this tenant's vectors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Timestamps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3.2 users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Login accounts, always scoped to a tenant. A person working with multiple businesses would have a separate user document per tenant.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tenantId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tenants)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Every query scoped to this field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email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Unique within a tenant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bcrypt hash; never returned in API responses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role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owner | admin | editor | viewer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name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invited | active | disabled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Updated on successful login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Timestamps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3.3 sources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A single uploaded PDF or submitted URL, tracked through the ingestion pipeline.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tenantId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tenants)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Owning tenant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pdf | url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title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File name or page title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origin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Original file path (uploads bucket) or source URL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queued | processing | ready | failed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chunkCount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Set once ingestion completes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errorMessage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Populated only if status = failed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Timestamps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3.4 chunks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Metadata for each text chunk extracted from a source. The embedding vector itself is stored in Pinecone; this document is the MongoDB-side pointer plus the original text for citations and debugging.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tenantId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tenants)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Owning tenant — mirrors the Pinecone namespace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sourceId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sources)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Parent source this chunk was extracted from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chunkIndex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Order of this chunk within the source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text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Raw chunk text, kept for citation/debugging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vectorId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ID of the matching vector in Pinecone (not the vector itself)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tokenCount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Used for ingestion-cost accounting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3.5 chats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One document per conversation session (widget or internal test chat).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tenantId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tenants)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Owning tenant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sessionId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Client-generated ID; groups messages into one conversation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startedAt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First message timestamp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lastMessageAt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Updated on every new message, used for sorting/expiry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messageCount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Denormalized count for quick list rendering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Timestamps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3.6 messages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Individual messages within a chat, stored as their own collection (rather than embedded in chats) so long conversations don't bloat a single document and analytics can query messages directly.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tenantId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tenants)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Owning tenant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chatId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chats)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Parent conversation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role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user | assistant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content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Message text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sourceRefs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Array&lt;ObjectId&gt; (ref: sources)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Sources cited in an assistant reply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tokensUsed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Set on assistant messages only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latencyMs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Set on assistant messages only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feedback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up | down | null — powers accuracy metric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3.7 usage_events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An append-only log of every billable action (embedding a chunk, answering a chat message). This is the source of truth for both the analytics dashboard and billing reconciliation.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tenantId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tenants)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Owning tenant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embed | chat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tokens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Tokens consumed by this event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latencyMs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Response time for chat-type events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refId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Points to the related message or source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 — indexed for time-range analytics queries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3.8 billing_events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A record of Stripe webhook events processed for a tenant, kept for auditability and to make webhook handling idempotent.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tenantId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tenants)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Owning tenant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stripeEventId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Unique; used to make webhook processing idempotent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type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invoice.paid | invoice.failed | subscription.updated | …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amount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no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Amount in smallest currency unit (e.g. paise/cents)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processed | failed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3.9 invites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Pending team invitations issued by an owner or admin.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200"/>
        <w:gridCol w:w="4500"/>
      </w:tblGrid>
      <w:tr>
        <w:trPr>
          <w:tblHeader/>
        </w:trPr>
        <w:tc>
          <w:tcPr>
            <w:tcW w:type="dxa" w:w="17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5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_id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tenantId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tenants)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Owning tenant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email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Invitee's email address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role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Role the invitee will receive on acceptance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token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Single-use token embedded in the invite link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invitedBy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ObjectId (ref: users)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Who sent the invite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status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pending | accepted | expired</w:t>
            </w:r>
          </w:p>
        </w:tc>
      </w:tr>
      <w:tr>
        <w:tc>
          <w:tcPr>
            <w:tcW w:type="dxa" w:w="17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expiresAt</w:t>
            </w:r>
          </w:p>
        </w:tc>
        <w:tc>
          <w:tcPr>
            <w:tcW w:type="dxa" w:w="165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Invite links expire after 7 days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22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2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yes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Timestamp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4. Indexes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tenants: unique index on slug.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users: compound unique index on (tenantId, email).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sources: index on tenantId; index on (tenantId, status) for the sources list view.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chunks: index on (tenantId, sourceId).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chats: compound index on (tenantId, sessionId).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messages: compound index on (tenantId, chatId, createdAt) for ordered conversation retrieval.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usage_events: compound index on (tenantId, createdAt) — the primary access pattern is time-range aggregation per tenant.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billing_events: unique index on stripeEventId to guarantee idempotent webhook processing.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invites: unique index on token; index on (tenantId, email).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5. Relationships &amp; Referential Rules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Every collection except tenants stores tenantId; no query is ever allowed to omit it — this is enforced in a shared query-builder/middleware layer, not left to each route handler.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Deleting a source cascades: its chunks are deleted from MongoDB and their vectors removed from the matching Pinecone namespace in the same operation.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Deleting a tenant (owner-initiated workspace deletion) cascades across all collections scoped to that tenantId, plus its Pinecone namespace.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messages.sourceRefs is a soft reference — if a cited source is later deleted, the message keeps the reference for historical display but the link no longer resolves.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6. Sample Mongoose Schema (sources)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Representative schema definition; other collections follow the same pattern (tenantId required + indexed, timestamps enabled, enums enforced at the schema level).</w:t>
      </w:r>
    </w:p>
    <w:p>
      <w:pPr>
        <w:pBdr>
          <w:top w:val="single" w:color="1D2130" w:sz="6"/>
          <w:bottom w:val="single" w:color="1D2130" w:sz="6"/>
          <w:left w:val="single" w:color="1D2130" w:sz="6"/>
          <w:right w:val="single" w:color="1D2130" w:sz="6"/>
        </w:pBdr>
        <w:shd w:fill="1D2130" w:val="clear"/>
        <w:spacing w:after="200" w:before="80"/>
      </w:pPr>
      <w:r>
        <w:rPr>
          <w:rFonts w:ascii="Consolas" w:cs="Consolas" w:eastAsia="Consolas" w:hAnsi="Consolas"/>
          <w:color w:val="D7DCEF"/>
          <w:sz w:val="17"/>
          <w:szCs w:val="17"/>
        </w:rPr>
        <w:t xml:space="preserve">const sourceSchema = new mongoose.Schema({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tenantId: { type: mongoose.Schema.Types.ObjectId, ref: 'Tenant', required: true, index: true },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type: { type: String, enum: ['pdf', 'url'], required: true },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title: { type: String, required: true },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origin: { type: String, required: true },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status: { type: String, enum: ['queued','processing','ready','failed'], default: 'queued' },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chunkCount: { type: Number, default: 0 },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  errorMessage: { type: String },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}, { timestamps: true });</w:t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D7DCEF"/>
          <w:sz w:val="17"/>
          <w:szCs w:val="17"/>
        </w:rPr>
        <w:br/>
        <w:t xml:space="preserve">sourceSchema.index({ tenantId: 1, status: 1 });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7. Notes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Vector data itself is never stored in MongoDB — Pinecone is the source of truth for embeddings; MongoDB only ever holds a vectorId pointer.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usage_events is designed as append-only and should not be updated in place, so it remains a reliable audit trail for billing disputes.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E2233"/>
          <w:sz w:val="21"/>
          <w:szCs w:val="21"/>
        </w:rPr>
        <w:t xml:space="preserve">Soft-delete is intentionally not used for sources/chunks — deletion must actually remove the vectors to honor a tenant's data-removal expectations.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2"/>
        <w:sz w:val="16"/>
        <w:szCs w:val="16"/>
      </w:rPr>
      <w:t xml:space="preserve">Page </w:t>
    </w:r>
    <w:r>
      <w:rPr>
        <w:color w:val="5B61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72"/>
        <w:sz w:val="16"/>
        <w:szCs w:val="16"/>
      </w:rPr>
      <w:t xml:space="preserve"> of </w:t>
    </w:r>
    <w:r>
      <w:rPr>
        <w:color w:val="5B61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AE3" w:sz="6" w:space="4"/>
      </w:pBdr>
    </w:pPr>
    <w:r>
      <w:rPr>
        <w:b/>
        <w:bCs/>
        <w:color w:val="12172B"/>
        <w:sz w:val="17"/>
        <w:szCs w:val="17"/>
      </w:rPr>
      <w:t xml:space="preserve">ContextIQ</w:t>
    </w:r>
    <w:r>
      <w:rPr>
        <w:color w:val="5B6172"/>
        <w:sz w:val="17"/>
        <w:szCs w:val="17"/>
      </w:rPr>
      <w:t xml:space="preserve">   —   Backend Schema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2026-08-16T13:33:22.269Z</dcterms:created>
  <dcterms:modified xsi:type="dcterms:W3CDTF">2026-08-16T13:33:22.282Z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