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2172B"/>
          <w:sz w:val="52"/>
          <w:szCs w:val="52"/>
        </w:rPr>
        <w:t xml:space="preserve">ContextIQ</w:t>
      </w:r>
    </w:p>
    <w:p>
      <w:pPr>
        <w:spacing w:after="260"/>
      </w:pPr>
      <w:r>
        <w:rPr>
          <w:b/>
          <w:bCs/>
          <w:color w:val="C97A2B"/>
          <w:sz w:val="24"/>
          <w:szCs w:val="24"/>
        </w:rPr>
        <w:t xml:space="preserve">Implementation Plan — Step-by-Step Build Sequence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Product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ContextIQ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Implementation Plan — Step-by-Step Build Sequence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Companion docs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PRD, TRD, App Flow, Backend Schema, Design Doc (all v1.0)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Owner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Samarth Sharma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Status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Draft v1.0</w:t>
            </w:r>
          </w:p>
        </w:tc>
      </w:tr>
      <w:tr>
        <w:tc>
          <w:tcPr>
            <w:tcW w:type="dxa" w:w="2200"/>
            <w:shd w:fill="F4F5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2172B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E2233"/>
                <w:sz w:val="19"/>
                <w:szCs w:val="19"/>
              </w:rPr>
              <w:t xml:space="preserve">August 16, 2026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1. Purpose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This document sequences ContextIQ's build into ordered, dependency-aware phases, each broken into concrete steps. It ties directly back to the other project documents — the TRD for architecture, the Backend Schema for data models, the App Flow for screens and navigation, and the Design Doc for the visual system — so each step references exactly what to build, not just what to build eventually.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Phases are ordered by dependency, not by calendar time: each phase assumes the ones before it are functionally complete. Skipping ahead (e.g. building the billing screen before auth exists) will hit missing dependencies described below.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2. Phase Overview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3600"/>
      </w:tblGrid>
      <w:tr>
        <w:trPr>
          <w:tblHeader/>
        </w:trPr>
        <w:tc>
          <w:tcPr>
            <w:tcW w:type="dxa" w:w="5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Builds on</w:t>
            </w:r>
          </w:p>
        </w:tc>
        <w:tc>
          <w:tcPr>
            <w:tcW w:type="dxa" w:w="3600"/>
            <w:shd w:fill="12172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Primary output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Environment &amp; Scaffolding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Repos, hosting accounts, env vars, empty app skeleton running locally</w:t>
            </w:r>
          </w:p>
        </w:tc>
      </w:tr>
      <w:tr>
        <w:tc>
          <w:tcPr>
            <w:tcW w:type="dxa" w:w="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Core RAG Pipeline</w:t>
            </w:r>
          </w:p>
        </w:tc>
        <w:tc>
          <w:tcPr>
            <w:tcW w:type="dxa" w:w="24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0</w:t>
            </w:r>
          </w:p>
        </w:tc>
        <w:tc>
          <w:tcPr>
            <w:tcW w:type="dxa" w:w="3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Upload → chunk → embed → store → answer working end-to-end via API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Multi-Tenancy &amp; Auth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1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Signup/login, JWT, tenant isolation enforced on every route</w:t>
            </w:r>
          </w:p>
        </w:tc>
      </w:tr>
      <w:tr>
        <w:tc>
          <w:tcPr>
            <w:tcW w:type="dxa" w:w="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Dashboard Shell &amp; Onboarding</w:t>
            </w:r>
          </w:p>
        </w:tc>
        <w:tc>
          <w:tcPr>
            <w:tcW w:type="dxa" w:w="24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2</w:t>
            </w:r>
          </w:p>
        </w:tc>
        <w:tc>
          <w:tcPr>
            <w:tcW w:type="dxa" w:w="3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App shell, sidebar nav, onboarding wizard (App Flow §4.1)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Sources &amp; Chatbot Config UI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Sources list/detail, chatbot config, test chat screens</w:t>
            </w:r>
          </w:p>
        </w:tc>
      </w:tr>
      <w:tr>
        <w:tc>
          <w:tcPr>
            <w:tcW w:type="dxa" w:w="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Chat Widget</w:t>
            </w:r>
          </w:p>
        </w:tc>
        <w:tc>
          <w:tcPr>
            <w:tcW w:type="dxa" w:w="24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1, 2</w:t>
            </w:r>
          </w:p>
        </w:tc>
        <w:tc>
          <w:tcPr>
            <w:tcW w:type="dxa" w:w="3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Embeddable widget, live on a test page, session memory working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1–5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Usage_events pipeline feeding the analytics dashboard</w:t>
            </w:r>
          </w:p>
        </w:tc>
      </w:tr>
      <w:tr>
        <w:tc>
          <w:tcPr>
            <w:tcW w:type="dxa" w:w="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Billing</w:t>
            </w:r>
          </w:p>
        </w:tc>
        <w:tc>
          <w:tcPr>
            <w:tcW w:type="dxa" w:w="24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2, 6</w:t>
            </w:r>
          </w:p>
        </w:tc>
        <w:tc>
          <w:tcPr>
            <w:tcW w:type="dxa" w:w="3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Stripe metering, plan limits, auto-pause, billing screen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Visual Design Pass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3–7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Design Doc tokens applied across all screens + widget</w:t>
            </w:r>
          </w:p>
        </w:tc>
      </w:tr>
      <w:tr>
        <w:tc>
          <w:tcPr>
            <w:tcW w:type="dxa" w:w="5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Scaling &amp; Hardening</w:t>
            </w:r>
          </w:p>
        </w:tc>
        <w:tc>
          <w:tcPr>
            <w:tcW w:type="dxa" w:w="24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Phase 1–8</w:t>
            </w:r>
          </w:p>
        </w:tc>
        <w:tc>
          <w:tcPr>
            <w:tcW w:type="dxa" w:w="3600"/>
            <w:shd w:fill="F4F5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Auto-scaling config, load test passed, security review</w:t>
            </w:r>
          </w:p>
        </w:tc>
      </w:tr>
      <w:tr>
        <w:tc>
          <w:tcPr>
            <w:tcW w:type="dxa" w:w="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E2233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QA &amp; Launch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All prior phases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E2233"/>
                <w:sz w:val="18"/>
                <w:szCs w:val="18"/>
              </w:rPr>
              <w:t xml:space="preserve">Test suite green, staging sign-off, production deploy</w:t>
            </w:r>
          </w:p>
        </w:tc>
      </w:tr>
    </w:tbl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3. Phase 0 — Environment &amp; Scaffolding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Create the GitHub repo(s): a single monorepo (recommended) with /client (React) and /server (Express) workspaces, or two separate repos if preferred.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Provision accounts: Gemini (Google AI Studio, free tier), Pinecone (free tier), MongoDB (local or Atlas free tier), Stripe (test mode), Vercel, Railway.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Create the Pinecone index (serverless) that all tenant namespaces will share.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Set up a MongoDB Atlas cluster with a development database.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Scaffold the Express server with a health-check route, and the React app with a router shell (empty pages matching the App Flow route list).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Define environment variables locally per the TRD's Environment Configuration table (§7); create .env.example for the team/future reference.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Connect the server to MongoDB and confirm a basic read/write round-trip.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Local client and server both run, server connects to MongoDB, and empty routes for every App Flow screen exist (even as placeholder pages).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4. Phase 1 — Core RAG Pipeline</w:t>
      </w:r>
    </w:p>
    <w:p>
      <w:pPr>
        <w:spacing w:after="140" w:line="300"/>
      </w:pPr>
      <w:r>
        <w:rPr>
          <w:color w:val="1E2233"/>
          <w:sz w:val="21"/>
          <w:szCs w:val="21"/>
        </w:rPr>
        <w:t xml:space="preserve">Build this as a standalone service/module first, testable via API calls directly, before any UI depends on it.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Implement PDF text extraction and URL fetch + readability extraction for the two source types.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Implement the chunking function (target ~500 tokens, ~50 token overlap) per TRD §5.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Wire up the Gemini embeddings call (gemini-embedding-001, output truncated to 1536 dimensions) for a batch of chunks.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Create the sources and chunks collections per the Backend Schema (§3.3, §3.4), including the tenantId + sourceId indexes.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Upsert embeddings into a Pinecone namespace (use a single test tenant namespace for now).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Implement the query-time flow: embed the incoming question, retrieve top-k chunks from Pinecone, assemble a LangChain prompt, call the chat completion endpoint.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Expose this as POST /api/sources (ingest) and POST /api/chat (query) per the TRD API surface, without auth yet.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1E2233"/>
          <w:sz w:val="21"/>
          <w:szCs w:val="21"/>
        </w:rPr>
        <w:t xml:space="preserve">Manually test end-to-end: upload a real PDF, ask a question, confirm the answer is grounded and cites the right source.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A PDF or URL can be ingested and queried successfully through the raw API, with no UI and no multi-tenancy yet.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5. Phase 2 — Multi-Tenancy &amp; Auth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Create the tenants and users collections per the Backend Schema (§3.1, §3.2).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Implement POST /api/auth/signup: creates a tenant + owner user in one transaction, sets onboardingCompleted: false.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Implement POST /api/auth/login and JWT issuance carrying tenantId and role.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Build the tenant-scoping middleware: every protected route must read tenantId from the JWT and filter all queries by it — this is the single enforcement point referenced throughout the TRD and Schema docs.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Retrofit Phase 1's ingest/chat endpoints to require auth and scope Pinecone namespace + MongoDB queries to the caller's tenant.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Implement role-based route guards for owner/admin/editor/viewer per the App Flow's role table (§5).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1E2233"/>
          <w:sz w:val="21"/>
          <w:szCs w:val="21"/>
        </w:rPr>
        <w:t xml:space="preserve">Write an integration test that confirms tenant A can never read tenant B's sources, chats, or vectors.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Two test tenants can each sign up, log in, and ingest/query their own content with zero cross-tenant leakage, verified by an automated test.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6. Phase 3 — Dashboard Shell &amp; Onboarding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Build the authenticated app shell: persistent sidebar, topbar, route guards per App Flow §6 (redirect to /login, /onboarding, or /app/overview as appropriate).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Build the onboarding wizard (App Flow §4.1): name workspace → add first source → live preview → mark onboardingCompleted.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Build /app/overview with placeholder stat cards (real data wired in Phase 6).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Implement role-based sidebar visibility per App Flow §5.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1E2233"/>
          <w:sz w:val="21"/>
          <w:szCs w:val="21"/>
        </w:rPr>
        <w:t xml:space="preserve">Implement the three-state pattern (loading / empty / error) as a shared component, per App Flow §7, for reuse across every data screen.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A new signup can complete onboarding end-to-end and land on a working (if data-light) dashboard shell, with navigation matching the App Flow site map exactly.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7. Phase 4 — Sources &amp; Chatbot Config UI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Build /app/sources: list view with status pills (queued/processing/ready/failed) polling or subscribing to live status.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Build /app/sources/:id: chunk count, re-index and delete actions (delete cascades per Backend Schema §5).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Build /app/chatbot: inline-editable name, greeting, color — no separate save step, per App Flow §4.4.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Build /app/chatbot/test: a sandboxed chat UI hitting the same /api/chat endpoint as production.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1E2233"/>
          <w:sz w:val="21"/>
          <w:szCs w:val="21"/>
        </w:rPr>
        <w:t xml:space="preserve">Build /app/embed: generates and displays the copyable widget script tag, scoped to the tenant's slug.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A tenant can add a source, watch it finish processing, configure their bot, test it live, and copy an install snippet — fully through the UI.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8. Phase 5 — Chat Widget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Build the standalone embeddable widget bundle (separate build target from the dashboard app).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Implement the chat bubble, open/close state, and the configured greeting from the tenant's chatbot config.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Wire the widget to POST /api/chat with session memory (sessionId persisted in the browser for the session).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Implement the graceful “currently unavailable” state for tenants over their plan limit (ties into Phase 7 billing state).</w:t>
      </w:r>
    </w:p>
    <w:p>
      <w:pPr>
        <w:pStyle w:val="ListParagraph"/>
        <w:numPr>
          <w:ilvl w:val="0"/>
          <w:numId w:val="7"/>
        </w:numPr>
        <w:spacing w:after="90" w:line="290"/>
      </w:pPr>
      <w:r>
        <w:rPr>
          <w:color w:val="1E2233"/>
          <w:sz w:val="21"/>
          <w:szCs w:val="21"/>
        </w:rPr>
        <w:t xml:space="preserve">Test the widget embedded on a plain external HTML page via the generated script tag from Phase 4.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The widget can be embedded on any external page via the copied script tag and holds a full grounded conversation with memory.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9. Phase 6 — Analytics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Create the usage_events collection per Backend Schema §3.7; write an event on every chat and embedding call from Phases 1/5.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Build GET /api/analytics/overview aggregating chat volume, token usage, accuracy (from message feedback), and latency.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Wire /app/overview and /app/analytics to real data, replacing Phase 3's placeholders.</w:t>
      </w:r>
    </w:p>
    <w:p>
      <w:pPr>
        <w:pStyle w:val="ListParagraph"/>
        <w:numPr>
          <w:ilvl w:val="0"/>
          <w:numId w:val="8"/>
        </w:numPr>
        <w:spacing w:after="90" w:line="290"/>
      </w:pPr>
      <w:r>
        <w:rPr>
          <w:color w:val="1E2233"/>
          <w:sz w:val="21"/>
          <w:szCs w:val="21"/>
        </w:rPr>
        <w:t xml:space="preserve">Add the thumbs up/down feedback control to assistant messages (widget and test chat) writing to messages.feedback.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Analytics screens reflect real usage generated by actual test conversations, not mock data.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10. Phase 7 — Billing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color w:val="1E2233"/>
          <w:sz w:val="21"/>
          <w:szCs w:val="21"/>
        </w:rPr>
        <w:t xml:space="preserve">Create the billing_events collection and Stripe webhook handler (POST /api/billing/webhook), keyed on stripeEventId for idempotency.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color w:val="1E2233"/>
          <w:sz w:val="21"/>
          <w:szCs w:val="21"/>
        </w:rPr>
        <w:t xml:space="preserve">Implement token metering: increment tenants.tokenUsed on every usage_events write; compare against tokenLimit.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color w:val="1E2233"/>
          <w:sz w:val="21"/>
          <w:szCs w:val="21"/>
        </w:rPr>
        <w:t xml:space="preserve">Implement auto-pause: when a tenant exceeds tokenLimit, /api/chat returns the graceful limit-reached response used by the widget (Phase 5).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color w:val="1E2233"/>
          <w:sz w:val="21"/>
          <w:szCs w:val="21"/>
        </w:rPr>
        <w:t xml:space="preserve">Build /app/billing: current plan, usage bar, invoice date, upgrade flow through Stripe's hosted checkout.</w:t>
      </w:r>
    </w:p>
    <w:p>
      <w:pPr>
        <w:pStyle w:val="ListParagraph"/>
        <w:numPr>
          <w:ilvl w:val="0"/>
          <w:numId w:val="9"/>
        </w:numPr>
        <w:spacing w:after="90" w:line="290"/>
      </w:pPr>
      <w:r>
        <w:rPr>
          <w:color w:val="1E2233"/>
          <w:sz w:val="21"/>
          <w:szCs w:val="21"/>
        </w:rPr>
        <w:t xml:space="preserve">Add the persistent over-limit banner across /app/* screens per App Flow §6.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A test tenant can be pushed over its token limit, see the bot pause gracefully, upgrade through Stripe, and resume — end-to-end.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11. Phase 8 — Visual Design Pass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color w:val="1E2233"/>
          <w:sz w:val="21"/>
          <w:szCs w:val="21"/>
        </w:rPr>
        <w:t xml:space="preserve">Apply the Design Doc's color tokens, typography (Poppins/Inter), and component specs across the dashboard, replacing any placeholder styling from Phases 3–7.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color w:val="1E2233"/>
          <w:sz w:val="21"/>
          <w:szCs w:val="21"/>
        </w:rPr>
        <w:t xml:space="preserve">Build the framed-hero landing page per the Design Doc's signature layout, including the mascot and its motion (idle bob, cursor tilt, scroll reveal) per Design Doc §8.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color w:val="1E2233"/>
          <w:sz w:val="21"/>
          <w:szCs w:val="21"/>
        </w:rPr>
        <w:t xml:space="preserve">Apply the shared loading/empty/error component states (Phase 3) with final visual treatment.</w:t>
      </w:r>
    </w:p>
    <w:p>
      <w:pPr>
        <w:pStyle w:val="ListParagraph"/>
        <w:numPr>
          <w:ilvl w:val="0"/>
          <w:numId w:val="10"/>
        </w:numPr>
        <w:spacing w:after="90" w:line="290"/>
      </w:pPr>
      <w:r>
        <w:rPr>
          <w:color w:val="1E2233"/>
          <w:sz w:val="21"/>
          <w:szCs w:val="21"/>
        </w:rPr>
        <w:t xml:space="preserve">Accessibility pass: contrast check per Design Doc §11, visible focus states, reduced-motion behavior verified.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Every screen in the App Flow site map visually matches the Design Doc, not just functions correctly.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12. Phase 9 — Scaling &amp; Hardening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color w:val="1E2233"/>
          <w:sz w:val="21"/>
          <w:szCs w:val="21"/>
        </w:rPr>
        <w:t xml:space="preserve">Configure horizontal auto-scaling on Railway (API) per TRD §8; confirm the API layer is fully stateless.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color w:val="1E2233"/>
          <w:sz w:val="21"/>
          <w:szCs w:val="21"/>
        </w:rPr>
        <w:t xml:space="preserve">Add Redis for rate-limit counters and any query caching identified during testing.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color w:val="1E2233"/>
          <w:sz w:val="21"/>
          <w:szCs w:val="21"/>
        </w:rPr>
        <w:t xml:space="preserve">Run a load test targeting 500+ concurrent users and sub-2s average latency (TRD §13); fix bottlenecks found.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color w:val="1E2233"/>
          <w:sz w:val="21"/>
          <w:szCs w:val="21"/>
        </w:rPr>
        <w:t xml:space="preserve">Security review against TRD §9: confirm tenant isolation, secret handling, and webhook signature verification are all in place.</w:t>
      </w:r>
    </w:p>
    <w:p>
      <w:pPr>
        <w:pStyle w:val="ListParagraph"/>
        <w:numPr>
          <w:ilvl w:val="0"/>
          <w:numId w:val="11"/>
        </w:numPr>
        <w:spacing w:after="90" w:line="290"/>
      </w:pPr>
      <w:r>
        <w:rPr>
          <w:color w:val="1E2233"/>
          <w:sz w:val="21"/>
          <w:szCs w:val="21"/>
        </w:rPr>
        <w:t xml:space="preserve">Add structured logging and error tracking per TRD §11.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Load test results meet the PRD's success metrics (§10), and the security checklist is fully signed off.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13. Phase 10 — QA &amp; Launch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Write/complete the automated test suite: unit tests (chunking, tenant scoping, billing math), integration tests (full ingest-to-answer pipeline).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Full manual walkthrough of every flow in the App Flow document (§4.1–4.7), on a staging environment.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Accuracy review: sample real tenant Q&amp;A pairs and manually check groundedness per TRD §12.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Final deploy to production (Vercel + Railway), verify environment variables and Stripe live keys are correctly separated from test mode.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color w:val="1E2233"/>
          <w:sz w:val="21"/>
          <w:szCs w:val="21"/>
        </w:rPr>
        <w:t xml:space="preserve">Public launch: enable signups, monitor error tracking and analytics closely for the first 48 hours.</w:t>
      </w:r>
    </w:p>
    <w:p>
      <w:pPr>
        <w:spacing w:after="180" w:before="60"/>
      </w:pPr>
      <w:r>
        <w:rPr>
          <w:b/>
          <w:bCs/>
          <w:i/>
          <w:iCs/>
          <w:color w:val="12172B"/>
          <w:sz w:val="20"/>
          <w:szCs w:val="20"/>
        </w:rPr>
        <w:t xml:space="preserve">Definition of done: </w:t>
      </w:r>
      <w:r>
        <w:rPr>
          <w:i/>
          <w:iCs/>
          <w:color w:val="3A3F52"/>
          <w:sz w:val="20"/>
          <w:szCs w:val="20"/>
        </w:rPr>
        <w:t xml:space="preserve">Production is live, monitored, and every flow in the App Flow document has been manually verified in the production environment.</w:t>
      </w:r>
    </w:p>
    <w:p>
      <w:pPr>
        <w:pStyle w:val="Heading1"/>
        <w:pBdr>
          <w:bottom w:val="single" w:color="C97A2B" w:sz="10" w:space="4"/>
        </w:pBdr>
        <w:spacing w:after="160" w:before="380"/>
      </w:pPr>
      <w:r>
        <w:rPr>
          <w:b/>
          <w:bCs/>
          <w:color w:val="12172B"/>
          <w:sz w:val="27"/>
          <w:szCs w:val="27"/>
        </w:rPr>
        <w:t xml:space="preserve">14. Notes on Sequencing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color w:val="1E2233"/>
          <w:sz w:val="21"/>
          <w:szCs w:val="21"/>
        </w:rPr>
        <w:t xml:space="preserve">Phases 3–5 (dashboard, sources UI, widget) can be parallelized across two people once Phase 2 is complete, since they depend on auth but not on each other.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color w:val="1E2233"/>
          <w:sz w:val="21"/>
          <w:szCs w:val="21"/>
        </w:rPr>
        <w:t xml:space="preserve">Phase 8 (visual design pass) is deliberately last among the UI phases so it isn't redone repeatedly as screens change during Phases 3–7 — build functional-first, polish once the flows are stable.</w:t>
      </w:r>
    </w:p>
    <w:p>
      <w:pPr>
        <w:pStyle w:val="ListParagraph"/>
        <w:numPr>
          <w:ilvl w:val="0"/>
          <w:numId w:val="12"/>
        </w:numPr>
        <w:spacing w:after="70" w:line="290"/>
      </w:pPr>
      <w:r>
        <w:rPr>
          <w:color w:val="1E2233"/>
          <w:sz w:val="21"/>
          <w:szCs w:val="21"/>
        </w:rPr>
        <w:t xml:space="preserve">Phase 9 (scaling) can start in parallel with Phase 8 since they touch different layers (infra vs. UI), but both should complete before Phase 10.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2"/>
        <w:sz w:val="16"/>
        <w:szCs w:val="16"/>
      </w:rPr>
      <w:t xml:space="preserve">Page </w:t>
    </w:r>
    <w:r>
      <w:rPr>
        <w:color w:val="5B61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2"/>
        <w:sz w:val="16"/>
        <w:szCs w:val="16"/>
      </w:rPr>
      <w:t xml:space="preserve"> of </w:t>
    </w:r>
    <w:r>
      <w:rPr>
        <w:color w:val="5B61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AE3" w:sz="6" w:space="4"/>
      </w:pBdr>
    </w:pPr>
    <w:r>
      <w:rPr>
        <w:b/>
        <w:bCs/>
        <w:color w:val="12172B"/>
        <w:sz w:val="17"/>
        <w:szCs w:val="17"/>
      </w:rPr>
      <w:t xml:space="preserve">ContextIQ</w:t>
    </w:r>
    <w:r>
      <w:rPr>
        <w:color w:val="5B6172"/>
        <w:sz w:val="17"/>
        <w:szCs w:val="17"/>
      </w:rPr>
      <w:t xml:space="preserve">   —  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2026-08-21T09:37:10.256Z</dcterms:created>
  <dcterms:modified xsi:type="dcterms:W3CDTF">2026-08-21T09:37:10.257Z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