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2172B"/>
          <w:sz w:val="52"/>
          <w:szCs w:val="52"/>
        </w:rPr>
        <w:t xml:space="preserve">ContextIQ</w:t>
      </w:r>
    </w:p>
    <w:p>
      <w:pPr>
        <w:spacing w:after="260"/>
      </w:pPr>
      <w:r>
        <w:rPr>
          <w:b/>
          <w:bCs/>
          <w:color w:val="C97A2B"/>
          <w:sz w:val="24"/>
          <w:szCs w:val="24"/>
        </w:rPr>
        <w:t xml:space="preserve">Multi-Tenant SaaS Platform for Custom AI Chatbots (RAG)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c>
          <w:tcPr>
            <w:tcW w:type="dxa" w:w="2200"/>
            <w:shd w:fill="F4F5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2172B"/>
                <w:sz w:val="19"/>
                <w:szCs w:val="19"/>
              </w:rPr>
              <w:t xml:space="preserve">Product</w:t>
            </w:r>
          </w:p>
        </w:tc>
        <w:tc>
          <w:tcPr>
            <w:tcW w:type="dxa" w:w="6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E2233"/>
                <w:sz w:val="19"/>
                <w:szCs w:val="19"/>
              </w:rPr>
              <w:t xml:space="preserve">ContextIQ</w:t>
            </w:r>
          </w:p>
        </w:tc>
      </w:tr>
      <w:tr>
        <w:tc>
          <w:tcPr>
            <w:tcW w:type="dxa" w:w="2200"/>
            <w:shd w:fill="F4F5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2172B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E2233"/>
                <w:sz w:val="19"/>
                <w:szCs w:val="19"/>
              </w:rPr>
              <w:t xml:space="preserve">Product Requirements Document (PRD)</w:t>
            </w:r>
          </w:p>
        </w:tc>
      </w:tr>
      <w:tr>
        <w:tc>
          <w:tcPr>
            <w:tcW w:type="dxa" w:w="2200"/>
            <w:shd w:fill="F4F5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2172B"/>
                <w:sz w:val="19"/>
                <w:szCs w:val="19"/>
              </w:rPr>
              <w:t xml:space="preserve">Owner</w:t>
            </w:r>
          </w:p>
        </w:tc>
        <w:tc>
          <w:tcPr>
            <w:tcW w:type="dxa" w:w="6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E2233"/>
                <w:sz w:val="19"/>
                <w:szCs w:val="19"/>
              </w:rPr>
              <w:t xml:space="preserve">Samarth Sharma</w:t>
            </w:r>
          </w:p>
        </w:tc>
      </w:tr>
      <w:tr>
        <w:tc>
          <w:tcPr>
            <w:tcW w:type="dxa" w:w="2200"/>
            <w:shd w:fill="F4F5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2172B"/>
                <w:sz w:val="19"/>
                <w:szCs w:val="19"/>
              </w:rPr>
              <w:t xml:space="preserve">Status</w:t>
            </w:r>
          </w:p>
        </w:tc>
        <w:tc>
          <w:tcPr>
            <w:tcW w:type="dxa" w:w="6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E2233"/>
                <w:sz w:val="19"/>
                <w:szCs w:val="19"/>
              </w:rPr>
              <w:t xml:space="preserve">Draft v1.0</w:t>
            </w:r>
          </w:p>
        </w:tc>
      </w:tr>
      <w:tr>
        <w:tc>
          <w:tcPr>
            <w:tcW w:type="dxa" w:w="2200"/>
            <w:shd w:fill="F4F5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2172B"/>
                <w:sz w:val="19"/>
                <w:szCs w:val="19"/>
              </w:rPr>
              <w:t xml:space="preserve">Last updated</w:t>
            </w:r>
          </w:p>
        </w:tc>
        <w:tc>
          <w:tcPr>
            <w:tcW w:type="dxa" w:w="6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E2233"/>
                <w:sz w:val="19"/>
                <w:szCs w:val="19"/>
              </w:rPr>
              <w:t xml:space="preserve">August 16, 2026</w:t>
            </w:r>
          </w:p>
        </w:tc>
      </w:tr>
    </w:tbl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1. Overview</w:t>
      </w:r>
    </w:p>
    <w:p>
      <w:pPr>
        <w:spacing w:after="140" w:line="300"/>
      </w:pPr>
      <w:r>
        <w:rPr>
          <w:color w:val="1E2233"/>
          <w:sz w:val="21"/>
          <w:szCs w:val="21"/>
        </w:rPr>
        <w:t xml:space="preserve">ContextIQ is a multi-tenant SaaS platform that lets businesses build a retrieval-augmented generation (RAG) chatbot trained on their own content — PDFs and web URLs — without writing code. The platform handles ingestion, chunking, embedding, vector storage, retrieval, response generation, per-tenant analytics, and usage-based billing in one product.</w:t>
      </w:r>
    </w:p>
    <w:p>
      <w:pPr>
        <w:spacing w:after="140" w:line="300"/>
      </w:pPr>
      <w:r>
        <w:rPr>
          <w:color w:val="1E2233"/>
          <w:sz w:val="21"/>
          <w:szCs w:val="21"/>
        </w:rPr>
        <w:t xml:space="preserve">Each business (“tenant”) operates in an isolated workspace with its own data, users, chatbot configuration, and billing plan, while sharing the same underlying infrastructure.</w:t>
      </w:r>
    </w:p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2. Problem Statement</w:t>
      </w:r>
    </w:p>
    <w:p>
      <w:pPr>
        <w:spacing w:after="140" w:line="300"/>
      </w:pPr>
      <w:r>
        <w:rPr>
          <w:color w:val="1E2233"/>
          <w:sz w:val="21"/>
          <w:szCs w:val="21"/>
        </w:rPr>
        <w:t xml:space="preserve">Businesses want an AI chatbot that can answer customer or internal questions accurately using their own documentation, not generic knowledge. Off-the-shelf LLMs hallucinate or lack company-specific context, and building a custom RAG pipeline in-house requires ML infrastructure, vector database management, and ongoing engineering effort most small and mid-sized businesses don't have.</w:t>
      </w:r>
    </w:p>
    <w:p>
      <w:pPr>
        <w:spacing w:after="140" w:line="300"/>
      </w:pPr>
      <w:r>
        <w:rPr>
          <w:color w:val="1E2233"/>
          <w:sz w:val="21"/>
          <w:szCs w:val="21"/>
        </w:rPr>
        <w:t xml:space="preserve">ContextIQ removes that barrier: a business uploads its content and has a working, embeddable chatbot within minutes, with the underlying retrieval infrastructure fully managed.</w:t>
      </w:r>
    </w:p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3. Goals &amp; Objectives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Let a non-technical user create a working, grounded chatbot in under 10 minutes.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Guarantee answers are grounded in the tenant's own uploaded content, minimizing hallucination.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Support many tenants on shared infrastructure with strict data isolation between them.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Give each tenant visibility into usage (chat volume, tokens, accuracy) and cost.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Monetize via usage-based billing that scales with each tenant's actual consumption.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Sustain production-grade performance: 500+ concurrent users at sub-2-second average response latency.</w:t>
      </w:r>
    </w:p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4. Target Users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12172B"/>
          <w:sz w:val="21"/>
          <w:szCs w:val="21"/>
        </w:rPr>
        <w:t xml:space="preserve">Primary — Business owners / support teams: </w:t>
      </w:r>
      <w:r>
        <w:rPr>
          <w:color w:val="1E2233"/>
          <w:sz w:val="21"/>
          <w:szCs w:val="21"/>
        </w:rPr>
        <w:t xml:space="preserve">small-to-mid-sized businesses that want an AI support or FAQ chatbot on their website without hiring an ML engineer.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12172B"/>
          <w:sz w:val="21"/>
          <w:szCs w:val="21"/>
        </w:rPr>
        <w:t xml:space="preserve">Secondary — Developers / agencies: </w:t>
      </w:r>
      <w:r>
        <w:rPr>
          <w:color w:val="1E2233"/>
          <w:sz w:val="21"/>
          <w:szCs w:val="21"/>
        </w:rPr>
        <w:t xml:space="preserve">teams building AI chatbots for multiple clients who want a managed backend instead of building RAG infrastructure themselves.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12172B"/>
          <w:sz w:val="21"/>
          <w:szCs w:val="21"/>
        </w:rPr>
        <w:t xml:space="preserve">Tertiary — End customers: </w:t>
      </w:r>
      <w:r>
        <w:rPr>
          <w:color w:val="1E2233"/>
          <w:sz w:val="21"/>
          <w:szCs w:val="21"/>
        </w:rPr>
        <w:t xml:space="preserve">the tenant's own website visitors who interact with the deployed chatbot widget.</w:t>
      </w:r>
    </w:p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5. Scope</w:t>
      </w:r>
    </w:p>
    <w:p>
      <w:pPr>
        <w:pStyle w:val="Heading2"/>
        <w:spacing w:after="110" w:before="260"/>
      </w:pPr>
      <w:r>
        <w:rPr>
          <w:b/>
          <w:bCs/>
          <w:color w:val="12172B"/>
          <w:sz w:val="22"/>
          <w:szCs w:val="22"/>
        </w:rPr>
        <w:t xml:space="preserve">5.1 In scope (v1)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Document/URL ingestion, chunking, and embedding pipeline.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Vector storage and semantic retrieval via Pinecone, namespaced per tenant.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Conversational chatbot with short-term memory across a session.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Multi-tenant workspace model with JWT-based role access.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Per-tenant analytics dashboard (chat volume, token usage, accuracy, latency).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Stripe usage-based billing with automatic pause at plan limits.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Embeddable chat widget for tenant websites.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Horizontal auto-scaling to sustain concurrent load.</w:t>
      </w:r>
    </w:p>
    <w:p>
      <w:pPr>
        <w:pStyle w:val="Heading2"/>
        <w:spacing w:after="110" w:before="260"/>
      </w:pPr>
      <w:r>
        <w:rPr>
          <w:b/>
          <w:bCs/>
          <w:color w:val="12172B"/>
          <w:sz w:val="22"/>
          <w:szCs w:val="22"/>
        </w:rPr>
        <w:t xml:space="preserve">5.2 Out of scope (v1)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Voice-based chatbot interface.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Multi-language embedding/translation pipeline.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Native mobile SDKs (web widget only at launch).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Custom LLM fine-tuning per tenant.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White-labeling / custom domains for tenants (planned post-launch).</w:t>
      </w:r>
    </w:p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6. User Roles &amp; Permissions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0"/>
      </w:tblGrid>
      <w:tr>
        <w:trPr>
          <w:tblHeader/>
        </w:trPr>
        <w:tc>
          <w:tcPr>
            <w:tcW w:type="dxa" w:w="2600"/>
            <w:shd w:fill="1217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500"/>
            <w:shd w:fill="1217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Permissions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Owner</w:t>
            </w:r>
          </w:p>
        </w:tc>
        <w:tc>
          <w:tcPr>
            <w:tcW w:type="dxa" w:w="6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Full tenant control: billing, team management, all sources, all analytics</w:t>
            </w:r>
          </w:p>
        </w:tc>
      </w:tr>
      <w:tr>
        <w:tc>
          <w:tcPr>
            <w:tcW w:type="dxa" w:w="26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Admin</w:t>
            </w:r>
          </w:p>
        </w:tc>
        <w:tc>
          <w:tcPr>
            <w:tcW w:type="dxa" w:w="65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Manage sources, chatbot settings, and view analytics; cannot manage billing or delete the workspace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Editor</w:t>
            </w:r>
          </w:p>
        </w:tc>
        <w:tc>
          <w:tcPr>
            <w:tcW w:type="dxa" w:w="6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Upload/remove knowledge sources, edit chatbot configuration</w:t>
            </w:r>
          </w:p>
        </w:tc>
      </w:tr>
      <w:tr>
        <w:tc>
          <w:tcPr>
            <w:tcW w:type="dxa" w:w="26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Viewer</w:t>
            </w:r>
          </w:p>
        </w:tc>
        <w:tc>
          <w:tcPr>
            <w:tcW w:type="dxa" w:w="65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Read-only access to chats and analytics dashboards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End user (customer's customer)</w:t>
            </w:r>
          </w:p>
        </w:tc>
        <w:tc>
          <w:tcPr>
            <w:tcW w:type="dxa" w:w="6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Interacts with the deployed chatbot only; no dashboard access</w:t>
            </w:r>
          </w:p>
        </w:tc>
      </w:tr>
    </w:tbl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7. Core Features &amp; Functional Requirements</w:t>
      </w:r>
    </w:p>
    <w:p>
      <w:pPr>
        <w:pStyle w:val="Heading2"/>
        <w:spacing w:after="110" w:before="260"/>
      </w:pPr>
      <w:r>
        <w:rPr>
          <w:b/>
          <w:bCs/>
          <w:color w:val="12172B"/>
          <w:sz w:val="22"/>
          <w:szCs w:val="22"/>
        </w:rPr>
        <w:t xml:space="preserve">7.1 Content ingestion &amp; RAG pipeline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E2233"/>
          <w:sz w:val="21"/>
          <w:szCs w:val="21"/>
        </w:rPr>
        <w:t xml:space="preserve">Tenant uploads a PDF or submits a URL through the dashboard.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E2233"/>
          <w:sz w:val="21"/>
          <w:szCs w:val="21"/>
        </w:rPr>
        <w:t xml:space="preserve">The system extracts text, splits it into overlapping chunks sized for retrieval quality.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E2233"/>
          <w:sz w:val="21"/>
          <w:szCs w:val="21"/>
        </w:rPr>
        <w:t xml:space="preserve">Each chunk is converted into an embedding vector via the Gemini embeddings API.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E2233"/>
          <w:sz w:val="21"/>
          <w:szCs w:val="21"/>
        </w:rPr>
        <w:t xml:space="preserve">Vectors are written to a tenant-specific Pinecone namespace, keeping tenants isolated at the storage layer.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E2233"/>
          <w:sz w:val="21"/>
          <w:szCs w:val="21"/>
        </w:rPr>
        <w:t xml:space="preserve">On a chat query, the system embeds the question, retrieves the most relevant chunks, and passes them to the LLM as grounding context via LangChain.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E2233"/>
          <w:sz w:val="21"/>
          <w:szCs w:val="21"/>
        </w:rPr>
        <w:t xml:space="preserve">The generated answer is returned to the widget along with the option to show the source(s) used.</w:t>
      </w:r>
    </w:p>
    <w:p>
      <w:pPr>
        <w:pStyle w:val="Heading2"/>
        <w:spacing w:after="110" w:before="260"/>
      </w:pPr>
      <w:r>
        <w:rPr>
          <w:b/>
          <w:bCs/>
          <w:color w:val="12172B"/>
          <w:sz w:val="22"/>
          <w:szCs w:val="22"/>
        </w:rPr>
        <w:t xml:space="preserve">7.2 Multi-tenancy &amp; access control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Each signup creates an isolated workspace (tenant) with its own users, sources, and settings.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JWT tokens carry tenant ID and role; every API request is scoped to the caller's tenant — cross-tenant access is rejected at the middleware level.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Role-based permissions per section 6 govern what each user can view or modify.</w:t>
      </w:r>
    </w:p>
    <w:p>
      <w:pPr>
        <w:pStyle w:val="Heading2"/>
        <w:spacing w:after="110" w:before="260"/>
      </w:pPr>
      <w:r>
        <w:rPr>
          <w:b/>
          <w:bCs/>
          <w:color w:val="12172B"/>
          <w:sz w:val="22"/>
          <w:szCs w:val="22"/>
        </w:rPr>
        <w:t xml:space="preserve">7.3 Analytics dashboard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Chat volume over time (daily/weekly view).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Token usage against the tenant's plan limit.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Response accuracy, derived from user feedback (thumbs up/down) and periodic evaluation sampling.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Average response latency.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Peak concurrent users.</w:t>
      </w:r>
    </w:p>
    <w:p>
      <w:pPr>
        <w:pStyle w:val="Heading2"/>
        <w:spacing w:after="110" w:before="260"/>
      </w:pPr>
      <w:r>
        <w:rPr>
          <w:b/>
          <w:bCs/>
          <w:color w:val="12172B"/>
          <w:sz w:val="22"/>
          <w:szCs w:val="22"/>
        </w:rPr>
        <w:t xml:space="preserve">7.4 Billing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Each plan defines a token/chat allowance; usage is metered per tenant via Stripe.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Tenants are notified as they approach their limit.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The chatbot automatically pauses (returns a graceful “limit reached” response) when a tenant exceeds their plan's allowance, until they upgrade or the billing period resets.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Tenants can view invoices and change plans from the dashboard.</w:t>
      </w:r>
    </w:p>
    <w:p>
      <w:pPr>
        <w:pStyle w:val="Heading2"/>
        <w:spacing w:after="110" w:before="260"/>
      </w:pPr>
      <w:r>
        <w:rPr>
          <w:b/>
          <w:bCs/>
          <w:color w:val="12172B"/>
          <w:sz w:val="22"/>
          <w:szCs w:val="22"/>
        </w:rPr>
        <w:t xml:space="preserve">7.5 Chat widget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Lightweight, embeddable widget a tenant adds to their website via a script tag.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Maintains conversation memory within a session so follow-up questions retain context.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Configurable appearance (name, color, greeting message) per tenant.</w:t>
      </w:r>
    </w:p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8. Non-Functional Requirements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12172B"/>
          <w:sz w:val="21"/>
          <w:szCs w:val="21"/>
        </w:rPr>
        <w:t xml:space="preserve">Performance: </w:t>
      </w:r>
      <w:r>
        <w:rPr>
          <w:color w:val="1E2233"/>
          <w:sz w:val="21"/>
          <w:szCs w:val="21"/>
        </w:rPr>
        <w:t xml:space="preserve">sub-2-second average response latency under normal load.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12172B"/>
          <w:sz w:val="21"/>
          <w:szCs w:val="21"/>
        </w:rPr>
        <w:t xml:space="preserve">Scalability: </w:t>
      </w:r>
      <w:r>
        <w:rPr>
          <w:color w:val="1E2233"/>
          <w:sz w:val="21"/>
          <w:szCs w:val="21"/>
        </w:rPr>
        <w:t xml:space="preserve">horizontal auto-scaling on Vercel (frontend) and Railway (backend) to sustain 500+ concurrent users.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12172B"/>
          <w:sz w:val="21"/>
          <w:szCs w:val="21"/>
        </w:rPr>
        <w:t xml:space="preserve">Security: </w:t>
      </w:r>
      <w:r>
        <w:rPr>
          <w:color w:val="1E2233"/>
          <w:sz w:val="21"/>
          <w:szCs w:val="21"/>
        </w:rPr>
        <w:t xml:space="preserve">JWT-based auth, tenant data isolation at both the database and vector-store layer, encrypted secrets, HTTPS everywhere.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12172B"/>
          <w:sz w:val="21"/>
          <w:szCs w:val="21"/>
        </w:rPr>
        <w:t xml:space="preserve">Reliability: </w:t>
      </w:r>
      <w:r>
        <w:rPr>
          <w:color w:val="1E2233"/>
          <w:sz w:val="21"/>
          <w:szCs w:val="21"/>
        </w:rPr>
        <w:t xml:space="preserve">graceful degradation when the LLM or vector store is slow/unavailable, rather than hard failure.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12172B"/>
          <w:sz w:val="21"/>
          <w:szCs w:val="21"/>
        </w:rPr>
        <w:t xml:space="preserve">Observability: </w:t>
      </w:r>
      <w:r>
        <w:rPr>
          <w:color w:val="1E2233"/>
          <w:sz w:val="21"/>
          <w:szCs w:val="21"/>
        </w:rPr>
        <w:t xml:space="preserve">structured logging and per-tenant usage metrics for debugging and billing accuracy.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12172B"/>
          <w:sz w:val="21"/>
          <w:szCs w:val="21"/>
        </w:rPr>
        <w:t xml:space="preserve">Data privacy: </w:t>
      </w:r>
      <w:r>
        <w:rPr>
          <w:color w:val="1E2233"/>
          <w:sz w:val="21"/>
          <w:szCs w:val="21"/>
        </w:rPr>
        <w:t xml:space="preserve">tenant content is never used to answer another tenant's queries; deletion of a source removes its vectors from Pinecone.</w:t>
      </w:r>
    </w:p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9. Technical Architecture</w:t>
      </w:r>
    </w:p>
    <w:p>
      <w:pPr>
        <w:spacing w:after="140" w:line="300"/>
      </w:pPr>
      <w:r>
        <w:rPr>
          <w:color w:val="1E2233"/>
          <w:sz w:val="21"/>
          <w:szCs w:val="21"/>
        </w:rPr>
        <w:t xml:space="preserve">The system is composed of a React frontend, an Express/Node.js API layer, and a RAG pipeline orchestrated with LangChain against Gemini and Pinecone. MongoDB stores tenant, user, and usage/billing metadata; Stripe handles metering and payments.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4600"/>
      </w:tblGrid>
      <w:tr>
        <w:trPr>
          <w:tblHeader/>
        </w:trPr>
        <w:tc>
          <w:tcPr>
            <w:tcW w:type="dxa" w:w="1900"/>
            <w:shd w:fill="1217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600"/>
            <w:shd w:fill="1217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600"/>
            <w:shd w:fill="1217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Frontend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React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Tenant dashboard, chatbot widget, onboarding flows</w:t>
            </w:r>
          </w:p>
        </w:tc>
      </w:tr>
      <w:tr>
        <w:tc>
          <w:tcPr>
            <w:tcW w:type="dxa" w:w="19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Backend / API</w:t>
            </w:r>
          </w:p>
        </w:tc>
        <w:tc>
          <w:tcPr>
            <w:tcW w:type="dxa" w:w="26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Node.js, Express</w:t>
            </w:r>
          </w:p>
        </w:tc>
        <w:tc>
          <w:tcPr>
            <w:tcW w:type="dxa" w:w="46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REST API, auth, orchestration of the RAG pipeline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LLM &amp; embeddings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Google Gemini API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Generates embeddings for stored content and answers for chat queries</w:t>
            </w:r>
          </w:p>
        </w:tc>
      </w:tr>
      <w:tr>
        <w:tc>
          <w:tcPr>
            <w:tcW w:type="dxa" w:w="19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26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LangChain</w:t>
            </w:r>
          </w:p>
        </w:tc>
        <w:tc>
          <w:tcPr>
            <w:tcW w:type="dxa" w:w="46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Chains retrieval + generation and manages conversation memory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Vector database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Pinecone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Stores and searches document embeddings per tenant</w:t>
            </w:r>
          </w:p>
        </w:tc>
      </w:tr>
      <w:tr>
        <w:tc>
          <w:tcPr>
            <w:tcW w:type="dxa" w:w="19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Primary database</w:t>
            </w:r>
          </w:p>
        </w:tc>
        <w:tc>
          <w:tcPr>
            <w:tcW w:type="dxa" w:w="26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MongoDB</w:t>
            </w:r>
          </w:p>
        </w:tc>
        <w:tc>
          <w:tcPr>
            <w:tcW w:type="dxa" w:w="46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Tenants, users, chat logs, usage metadata, billing state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Payments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Stripe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Usage-based billing, invoicing, plan limits</w:t>
            </w:r>
          </w:p>
        </w:tc>
      </w:tr>
      <w:tr>
        <w:tc>
          <w:tcPr>
            <w:tcW w:type="dxa" w:w="19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Auth</w:t>
            </w:r>
          </w:p>
        </w:tc>
        <w:tc>
          <w:tcPr>
            <w:tcW w:type="dxa" w:w="26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JWT</w:t>
            </w:r>
          </w:p>
        </w:tc>
        <w:tc>
          <w:tcPr>
            <w:tcW w:type="dxa" w:w="46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Role-based access control across tenants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Hosting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Vercel (frontend), Railway (backend)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Horizontal auto-scaling under load</w:t>
            </w:r>
          </w:p>
        </w:tc>
      </w:tr>
    </w:tbl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10. Success Metrics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700"/>
      </w:tblGrid>
      <w:tr>
        <w:trPr>
          <w:tblHeader/>
        </w:trPr>
        <w:tc>
          <w:tcPr>
            <w:tcW w:type="dxa" w:w="2800"/>
            <w:shd w:fill="1217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600"/>
            <w:shd w:fill="1217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2700"/>
            <w:shd w:fill="1217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Time to first working chatbot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&lt; 10 minutes from signup to embeddable widget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Product analytics</w:t>
            </w:r>
          </w:p>
        </w:tc>
      </w:tr>
      <w:tr>
        <w:tc>
          <w:tcPr>
            <w:tcW w:type="dxa" w:w="28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Answer accuracy</w:t>
            </w:r>
          </w:p>
        </w:tc>
        <w:tc>
          <w:tcPr>
            <w:tcW w:type="dxa" w:w="36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≥ 95% of answers rated relevant/correct in tenant review sample</w:t>
            </w:r>
          </w:p>
        </w:tc>
        <w:tc>
          <w:tcPr>
            <w:tcW w:type="dxa" w:w="27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Feedback + eval sampling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Average response latency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&lt; 2 seconds end-to-end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API instrumentation</w:t>
            </w:r>
          </w:p>
        </w:tc>
      </w:tr>
      <w:tr>
        <w:tc>
          <w:tcPr>
            <w:tcW w:type="dxa" w:w="28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Concurrent user capacity</w:t>
            </w:r>
          </w:p>
        </w:tc>
        <w:tc>
          <w:tcPr>
            <w:tcW w:type="dxa" w:w="36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500+ concurrent chats without degradation</w:t>
            </w:r>
          </w:p>
        </w:tc>
        <w:tc>
          <w:tcPr>
            <w:tcW w:type="dxa" w:w="27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Load testing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Trial-to-paid conversion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≥ 15% within 30 days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Stripe + product analytics</w:t>
            </w:r>
          </w:p>
        </w:tc>
      </w:tr>
      <w:tr>
        <w:tc>
          <w:tcPr>
            <w:tcW w:type="dxa" w:w="28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Monthly tenant churn</w:t>
            </w:r>
          </w:p>
        </w:tc>
        <w:tc>
          <w:tcPr>
            <w:tcW w:type="dxa" w:w="36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&lt; 5%</w:t>
            </w:r>
          </w:p>
        </w:tc>
        <w:tc>
          <w:tcPr>
            <w:tcW w:type="dxa" w:w="27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Billing data</w:t>
            </w:r>
          </w:p>
        </w:tc>
      </w:tr>
    </w:tbl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11. Milestones &amp; Rollout Plan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300"/>
      </w:tblGrid>
      <w:tr>
        <w:trPr>
          <w:tblHeader/>
        </w:trPr>
        <w:tc>
          <w:tcPr>
            <w:tcW w:type="dxa" w:w="1400"/>
            <w:shd w:fill="1217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400"/>
            <w:shd w:fill="1217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5300"/>
            <w:shd w:fill="1217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deliverables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Phase 1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Core RAG pipeline</w:t>
            </w:r>
          </w:p>
        </w:tc>
        <w:tc>
          <w:tcPr>
            <w:tcW w:type="dxa" w:w="5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Upload, chunking, embedding, Pinecone storage, basic Q&amp;A chatbot</w:t>
            </w:r>
          </w:p>
        </w:tc>
      </w:tr>
      <w:tr>
        <w:tc>
          <w:tcPr>
            <w:tcW w:type="dxa" w:w="14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Phase 2</w:t>
            </w:r>
          </w:p>
        </w:tc>
        <w:tc>
          <w:tcPr>
            <w:tcW w:type="dxa" w:w="24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Multi-tenancy &amp; auth</w:t>
            </w:r>
          </w:p>
        </w:tc>
        <w:tc>
          <w:tcPr>
            <w:tcW w:type="dxa" w:w="53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Tenant isolation, JWT roles, workspace onboarding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Phase 3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Analytics &amp; billing</w:t>
            </w:r>
          </w:p>
        </w:tc>
        <w:tc>
          <w:tcPr>
            <w:tcW w:type="dxa" w:w="5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Usage dashboards, Stripe metering, auto-pause on limit</w:t>
            </w:r>
          </w:p>
        </w:tc>
      </w:tr>
      <w:tr>
        <w:tc>
          <w:tcPr>
            <w:tcW w:type="dxa" w:w="14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Phase 4</w:t>
            </w:r>
          </w:p>
        </w:tc>
        <w:tc>
          <w:tcPr>
            <w:tcW w:type="dxa" w:w="24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Scale &amp; reliability</w:t>
            </w:r>
          </w:p>
        </w:tc>
        <w:tc>
          <w:tcPr>
            <w:tcW w:type="dxa" w:w="53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Horizontal auto-scaling, load testing to 500+ concurrent users, conversation memory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Phase 5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Polish &amp; launch</w:t>
            </w:r>
          </w:p>
        </w:tc>
        <w:tc>
          <w:tcPr>
            <w:tcW w:type="dxa" w:w="5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Embeddable widget, onboarding flow, docs, public launch</w:t>
            </w:r>
          </w:p>
        </w:tc>
      </w:tr>
    </w:tbl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12. Risks &amp; Mitigations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3500"/>
      </w:tblGrid>
      <w:tr>
        <w:trPr>
          <w:tblHeader/>
        </w:trPr>
        <w:tc>
          <w:tcPr>
            <w:tcW w:type="dxa" w:w="3200"/>
            <w:shd w:fill="1217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200"/>
            <w:shd w:fill="1217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1200"/>
            <w:shd w:fill="1217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500"/>
            <w:shd w:fill="1217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Embedding/LLM API costs scale faster than revenue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High</w:t>
            </w:r>
          </w:p>
        </w:tc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Enforce token caps per plan; auto-pause on limit; monitor cost-per-tenant</w:t>
            </w:r>
          </w:p>
        </w:tc>
      </w:tr>
      <w:tr>
        <w:tc>
          <w:tcPr>
            <w:tcW w:type="dxa" w:w="32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Poor chunking hurts answer quality</w:t>
            </w:r>
          </w:p>
        </w:tc>
        <w:tc>
          <w:tcPr>
            <w:tcW w:type="dxa" w:w="12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High</w:t>
            </w:r>
          </w:p>
        </w:tc>
        <w:tc>
          <w:tcPr>
            <w:tcW w:type="dxa" w:w="35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Tune chunk size/overlap; add retrieval evaluation set; allow manual source review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Cross-tenant data leakage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Critical</w:t>
            </w:r>
          </w:p>
        </w:tc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Namespace isolation in Pinecone per tenant; strict JWT scope checks on every query</w:t>
            </w:r>
          </w:p>
        </w:tc>
      </w:tr>
      <w:tr>
        <w:tc>
          <w:tcPr>
            <w:tcW w:type="dxa" w:w="32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Latency degrades under concurrent load</w:t>
            </w:r>
          </w:p>
        </w:tc>
        <w:tc>
          <w:tcPr>
            <w:tcW w:type="dxa" w:w="12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Medium</w:t>
            </w:r>
          </w:p>
        </w:tc>
        <w:tc>
          <w:tcPr>
            <w:tcW w:type="dxa" w:w="35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Horizontal auto-scaling; caching of frequent queries; load testing before launch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Stripe billing edge cases (partial usage, failed payments)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Medium</w:t>
            </w:r>
          </w:p>
        </w:tc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Use Stripe metered billing primitives; add manual override tooling for support</w:t>
            </w:r>
          </w:p>
        </w:tc>
      </w:tr>
    </w:tbl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13. Assumptions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Tenants primarily provide text-based content (PDFs, web pages); scanned/image-only PDFs are out of scope for v1 unless OCR is added later.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Gemini and Pinecone remain the embedding/vector-store providers for v1; the architecture should not preclude swapping providers later.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Tenants are comfortable with usage-based pricing rather than flat-rate plans.</w:t>
      </w:r>
    </w:p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14. Open Questions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Should accuracy be measured purely by user feedback, or supplemented with a held-out evaluation set per tenant?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What is the retention policy for chat logs and uploaded source documents after a tenant cancels?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Should white-labeling / custom domains be pulled into v1 or remain a fast-follow?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172"/>
        <w:sz w:val="16"/>
        <w:szCs w:val="16"/>
      </w:rPr>
      <w:t xml:space="preserve">Page </w:t>
    </w:r>
    <w:r>
      <w:rPr>
        <w:color w:val="5B61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172"/>
        <w:sz w:val="16"/>
        <w:szCs w:val="16"/>
      </w:rPr>
      <w:t xml:space="preserve"> of </w:t>
    </w:r>
    <w:r>
      <w:rPr>
        <w:color w:val="5B61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AE3" w:sz="6" w:space="4"/>
      </w:pBdr>
    </w:pPr>
    <w:r>
      <w:rPr>
        <w:b/>
        <w:bCs/>
        <w:color w:val="12172B"/>
        <w:sz w:val="17"/>
        <w:szCs w:val="17"/>
      </w:rPr>
      <w:t xml:space="preserve">ContextIQ</w:t>
    </w:r>
    <w:r>
      <w:rPr>
        <w:color w:val="5B6172"/>
        <w:sz w:val="17"/>
        <w:szCs w:val="17"/>
      </w:rPr>
      <w:t xml:space="preserve">   —  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–"/>
      <w:lvlJc w:val="left"/>
      <w:pPr>
        <w:ind w:left="86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2026-08-21T09:37:09.943Z</dcterms:created>
  <dcterms:modified xsi:type="dcterms:W3CDTF">2026-08-21T09:37:09.943Z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