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172B"/>
          <w:sz w:val="52"/>
          <w:szCs w:val="52"/>
        </w:rPr>
        <w:t xml:space="preserve">ContextIQ</w:t>
      </w:r>
    </w:p>
    <w:p>
      <w:pPr>
        <w:spacing w:after="260"/>
      </w:pPr>
      <w:r>
        <w:rPr>
          <w:b/>
          <w:bCs/>
          <w:color w:val="C97A2B"/>
          <w:sz w:val="24"/>
          <w:szCs w:val="24"/>
        </w:rPr>
        <w:t xml:space="preserve">Technical Requirements Document (TRD)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Product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ContextIQ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Technical Requirements Document (TRD)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Companion doc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ContextIQ PRD v1.0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Owner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Samarth Sharma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Status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Draft v1.0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August 16, 2026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1. Purpose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This document defines the technical architecture, stack, data model, APIs, and non-functional engineering requirements for ContextIQ. It is the engineering companion to the Product Requirements Document (PRD) and is the reference for how the product described there gets built.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2. System Architecture Overview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ContextIQ is a three-tier system: a React frontend (dashboard + embeddable widget), an Express/Node.js API layer that owns all business logic and orchestration, and a set of managed external services (Gemini, Pinecone, MongoDB, Stripe) that the API layer coordinates. All tenant data is logically isolated at every layer it passes through.</w:t>
      </w:r>
    </w:p>
    <w:p>
      <w:pPr>
        <w:pBdr>
          <w:top w:val="single" w:color="1D2130" w:sz="6"/>
          <w:bottom w:val="single" w:color="1D2130" w:sz="6"/>
          <w:left w:val="single" w:color="1D2130" w:sz="6"/>
          <w:right w:val="single" w:color="1D2130" w:sz="6"/>
        </w:pBdr>
        <w:shd w:fill="1D2130" w:val="clear"/>
        <w:spacing w:after="200" w:before="80"/>
      </w:pPr>
      <w:r>
        <w:rPr>
          <w:rFonts w:ascii="Consolas" w:cs="Consolas" w:eastAsia="Consolas" w:hAnsi="Consolas"/>
          <w:color w:val="D7DCEF"/>
          <w:sz w:val="18"/>
          <w:szCs w:val="18"/>
        </w:rPr>
        <w:t xml:space="preserve">[ React dashboard ]      [ Embeddable widget ]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    |                        |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    +---------+   +----------+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              v   v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       [ Express API layer ]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   (auth, tenant scoping, routing)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                |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+---------------+----------------+------------------+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v                v                v                  v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[ LangChain    ]  [ MongoDB ]     [ Pinecone ]      [ Stripe ]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[ orchestration]  (tenants,       (vector store,    (billing,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[ -&gt; Gemini    ]   users, chats,   per-tenant         usage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              usage, billing) namespace)         metering)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3. Tech Stack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Each layer below is chosen to keep the pipeline managed rather than self-hosted, so engineering effort goes into product logic instead of infrastructure operations.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900"/>
        <w:gridCol w:w="3400"/>
      </w:tblGrid>
      <w:tr>
        <w:trPr>
          <w:tblHeader/>
        </w:trPr>
        <w:tc>
          <w:tcPr>
            <w:tcW w:type="dxa" w:w="17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1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9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target</w:t>
            </w:r>
          </w:p>
        </w:tc>
        <w:tc>
          <w:tcPr>
            <w:tcW w:type="dxa" w:w="34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Frontend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React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18.x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 dashboard, onboarding, embeddable chat widget</w:t>
            </w:r>
          </w:p>
        </w:tc>
      </w:tr>
      <w:tr>
        <w:tc>
          <w:tcPr>
            <w:tcW w:type="dxa" w:w="1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Backend runtime</w:t>
            </w:r>
          </w:p>
        </w:tc>
        <w:tc>
          <w:tcPr>
            <w:tcW w:type="dxa" w:w="21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Node.js</w:t>
            </w:r>
          </w:p>
        </w:tc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20 LTS</w:t>
            </w:r>
          </w:p>
        </w:tc>
        <w:tc>
          <w:tcPr>
            <w:tcW w:type="dxa" w:w="3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Runs the API server and pipeline orchestration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Express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4.x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REST endpoints, middleware (auth, rate limiting, tenant scoping)</w:t>
            </w:r>
          </w:p>
        </w:tc>
      </w:tr>
      <w:tr>
        <w:tc>
          <w:tcPr>
            <w:tcW w:type="dxa" w:w="1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LLM &amp; embeddings</w:t>
            </w:r>
          </w:p>
        </w:tc>
        <w:tc>
          <w:tcPr>
            <w:tcW w:type="dxa" w:w="21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Google Gemini API</w:t>
            </w:r>
          </w:p>
        </w:tc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gemini-2.5-flash (chat) + gemini-embedding-001 (embeddings, truncated to 1536 dims)</w:t>
            </w:r>
          </w:p>
        </w:tc>
        <w:tc>
          <w:tcPr>
            <w:tcW w:type="dxa" w:w="3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Generates embeddings and chat completions — free tier available, no billing required for dev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LangChain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JS/TS SDK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Retrieval chain, prompt templating, conversation memory</w:t>
            </w:r>
          </w:p>
        </w:tc>
      </w:tr>
      <w:tr>
        <w:tc>
          <w:tcPr>
            <w:tcW w:type="dxa" w:w="1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21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Pinecone</w:t>
            </w:r>
          </w:p>
        </w:tc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Serverless index</w:t>
            </w:r>
          </w:p>
        </w:tc>
        <w:tc>
          <w:tcPr>
            <w:tcW w:type="dxa" w:w="3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Stores &amp; queries embeddings, namespaced per tenant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MongoDB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6.x / Atlas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Tenants, users, sources, chat logs, usage, billing state</w:t>
            </w:r>
          </w:p>
        </w:tc>
      </w:tr>
      <w:tr>
        <w:tc>
          <w:tcPr>
            <w:tcW w:type="dxa" w:w="1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Cache / session</w:t>
            </w:r>
          </w:p>
        </w:tc>
        <w:tc>
          <w:tcPr>
            <w:tcW w:type="dxa" w:w="21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Redis</w:t>
            </w:r>
          </w:p>
        </w:tc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7.x</w:t>
            </w:r>
          </w:p>
        </w:tc>
        <w:tc>
          <w:tcPr>
            <w:tcW w:type="dxa" w:w="3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Rate limiting counters, session/memory cache, job queue backing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Payments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Stripe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Metered billing API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Usage-based billing, invoices, webhooks</w:t>
            </w:r>
          </w:p>
        </w:tc>
      </w:tr>
      <w:tr>
        <w:tc>
          <w:tcPr>
            <w:tcW w:type="dxa" w:w="1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Auth</w:t>
            </w:r>
          </w:p>
        </w:tc>
        <w:tc>
          <w:tcPr>
            <w:tcW w:type="dxa" w:w="21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JWT (jsonwebtoken)</w:t>
            </w:r>
          </w:p>
        </w:tc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Stateless auth carrying tenant ID + role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Vercel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CDN-backed hosting with auto-scaling for the dashboard/widget</w:t>
            </w:r>
          </w:p>
        </w:tc>
      </w:tr>
      <w:tr>
        <w:tc>
          <w:tcPr>
            <w:tcW w:type="dxa" w:w="1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21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Railway</w:t>
            </w:r>
          </w:p>
        </w:tc>
        <w:tc>
          <w:tcPr>
            <w:tcW w:type="dxa" w:w="1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Container hosting for the API with horizontal auto-scaling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4. Data Model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MongoDB holds all tenant-scoped operational data. Every collection except tenants itself carries a tenantId field, and every query in the API layer must filter on it — there is no code path that reads across tenants.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00"/>
        <w:gridCol w:w="1400"/>
      </w:tblGrid>
      <w:tr>
        <w:trPr>
          <w:tblHeader/>
        </w:trPr>
        <w:tc>
          <w:tcPr>
            <w:tcW w:type="dxa" w:w="18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59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14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Indexed on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tenants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_id, name, plan, stripeCustomerId, tokenLimit, tokenUsed, status, createdAt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_id</w:t>
            </w:r>
          </w:p>
        </w:tc>
      </w:tr>
      <w:tr>
        <w:tc>
          <w:tcPr>
            <w:tcW w:type="dxa" w:w="1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users</w:t>
            </w:r>
          </w:p>
        </w:tc>
        <w:tc>
          <w:tcPr>
            <w:tcW w:type="dxa" w:w="5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_id, tenantId, email, passwordHash, role, createdAt</w:t>
            </w:r>
          </w:p>
        </w:tc>
        <w:tc>
          <w:tcPr>
            <w:tcW w:type="dxa" w:w="1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tenantId + email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sources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_id, tenantId, type (pdf/url), title, status, chunkCount, pineconeNamespace, createdAt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tenantId</w:t>
            </w:r>
          </w:p>
        </w:tc>
      </w:tr>
      <w:tr>
        <w:tc>
          <w:tcPr>
            <w:tcW w:type="dxa" w:w="1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chats</w:t>
            </w:r>
          </w:p>
        </w:tc>
        <w:tc>
          <w:tcPr>
            <w:tcW w:type="dxa" w:w="5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_id, tenantId, sessionId, messages[], sourceRefs[], createdAt</w:t>
            </w:r>
          </w:p>
        </w:tc>
        <w:tc>
          <w:tcPr>
            <w:tcW w:type="dxa" w:w="1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tenantId + sessionId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usage_events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_id, tenantId, type (chat/embed), tokens, latencyMs, createdAt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tenantId + createdAt</w:t>
            </w:r>
          </w:p>
        </w:tc>
      </w:tr>
      <w:tr>
        <w:tc>
          <w:tcPr>
            <w:tcW w:type="dxa" w:w="1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billing_events</w:t>
            </w:r>
          </w:p>
        </w:tc>
        <w:tc>
          <w:tcPr>
            <w:tcW w:type="dxa" w:w="5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_id, tenantId, stripeEventId, type, amount, status, createdAt</w:t>
            </w:r>
          </w:p>
        </w:tc>
        <w:tc>
          <w:tcPr>
            <w:tcW w:type="dxa" w:w="14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tenantId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5. RAG Pipeline — Technical Flow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Ingestion: a PDF or URL is submitted; text is extracted (PDF parser or HTML fetch + readability extraction).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Chunking: text is split into overlapping segments (target ~500 tokens, ~50 token overlap) to preserve context across chunk boundaries.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Embedding: each chunk is sent to the Gemini embeddings endpoint (output truncated to 1536 dimensions); vectors are returned and tagged with source metadata (sourceId, chunkIndex, tenantId).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Storage: vectors are upserted into the tenant's Pinecone namespace so retrieval never crosses tenant boundaries.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Query time: an incoming chat message is embedded, Pinecone returns the top-k most similar chunks for that tenant's namespace.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Generation: LangChain assembles a prompt from the retrieved chunks + conversation memory and calls the Gemini chat completion endpoint.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Response: the answer streams back to the widget; the interaction is logged to usage_events for analytics and billing.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6. API Surface (v1)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A representative set of endpoints; all routes except signup/login require a valid JWT and are automatically scoped to the tenant encoded in 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4800"/>
      </w:tblGrid>
      <w:tr>
        <w:trPr>
          <w:tblHeader/>
        </w:trPr>
        <w:tc>
          <w:tcPr>
            <w:tcW w:type="dxa" w:w="13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9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8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/api/auth/signup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Create a tenant workspace + owner user</w:t>
            </w:r>
          </w:p>
        </w:tc>
      </w:tr>
      <w:tr>
        <w:tc>
          <w:tcPr>
            <w:tcW w:type="dxa" w:w="13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4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Authenticate and issue a JWT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/api/sources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Upload a PDF or submit a URL for ingestion</w:t>
            </w:r>
          </w:p>
        </w:tc>
      </w:tr>
      <w:tr>
        <w:tc>
          <w:tcPr>
            <w:tcW w:type="dxa" w:w="13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/api/sources</w:t>
            </w:r>
          </w:p>
        </w:tc>
        <w:tc>
          <w:tcPr>
            <w:tcW w:type="dxa" w:w="4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List a tenant's ingested sources and their status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/api/sources/:id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Remove a source and its vectors from Pinecone</w:t>
            </w:r>
          </w:p>
        </w:tc>
      </w:tr>
      <w:tr>
        <w:tc>
          <w:tcPr>
            <w:tcW w:type="dxa" w:w="13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/api/chat</w:t>
            </w:r>
          </w:p>
        </w:tc>
        <w:tc>
          <w:tcPr>
            <w:tcW w:type="dxa" w:w="4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Submit a user message; returns a grounded answer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/api/analytics/overview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Chat volume, token usage, accuracy, latency for a tenant</w:t>
            </w:r>
          </w:p>
        </w:tc>
      </w:tr>
      <w:tr>
        <w:tc>
          <w:tcPr>
            <w:tcW w:type="dxa" w:w="13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/api/billing/usage</w:t>
            </w:r>
          </w:p>
        </w:tc>
        <w:tc>
          <w:tcPr>
            <w:tcW w:type="dxa" w:w="4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Current plan, token usage, next invoice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/api/billing/webhook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Stripe webhook receiver for payment/usage events</w:t>
            </w:r>
          </w:p>
        </w:tc>
      </w:tr>
      <w:tr>
        <w:tc>
          <w:tcPr>
            <w:tcW w:type="dxa" w:w="13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List tenant users and roles (owner/admin only)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7. Environment Configuration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5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Auth for embeddings + chat completion calls (Google AI Studio)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PINECONE_API_KEY / PINECONE_ENV</w:t>
            </w:r>
          </w:p>
        </w:tc>
        <w:tc>
          <w:tcPr>
            <w:tcW w:type="dxa" w:w="6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Auth and region for the vector database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MONGODB_URI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Connection string for the primary database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REDIS_URL</w:t>
            </w:r>
          </w:p>
        </w:tc>
        <w:tc>
          <w:tcPr>
            <w:tcW w:type="dxa" w:w="6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Connection string for cache/queue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Signing key for access tokens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STRIPE_SECRET_KEY / STRIPE_WEBHOOK_SECRET</w:t>
            </w:r>
          </w:p>
        </w:tc>
        <w:tc>
          <w:tcPr>
            <w:tcW w:type="dxa" w:w="6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Billing API auth and webhook signature verification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NODE_ENV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Environment flag (development / staging / production)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8. Scaling Strategy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The target is 500+ concurrent users at sub-2-second average response latency. Scaling is handled primarily by keeping the API layer stateless and leaning on each managed service's own scaling behavior.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300"/>
      </w:tblGrid>
      <w:tr>
        <w:trPr>
          <w:tblHeader/>
        </w:trPr>
        <w:tc>
          <w:tcPr>
            <w:tcW w:type="dxa" w:w="2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Bottleneck</w:t>
            </w:r>
          </w:p>
        </w:tc>
        <w:tc>
          <w:tcPr>
            <w:tcW w:type="dxa" w:w="32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3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API request volume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Horizontal auto-scaling on Railway behind a load balancer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Stateless API instances; scale on CPU/request thresholds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Chat latency</w:t>
            </w:r>
          </w:p>
        </w:tc>
        <w:tc>
          <w:tcPr>
            <w:tcW w:type="dxa" w:w="32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Cache frequent query embeddings; stream LLM responses</w:t>
            </w:r>
          </w:p>
        </w:tc>
        <w:tc>
          <w:tcPr>
            <w:tcW w:type="dxa" w:w="33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Streaming improves perceived latency even if total time is similar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Vector search at scale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Pinecone serverless index auto-scales per namespace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Namespace-per-tenant keeps individual query sets small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Database writes (chat logs)</w:t>
            </w:r>
          </w:p>
        </w:tc>
        <w:tc>
          <w:tcPr>
            <w:tcW w:type="dxa" w:w="32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Batch usage_event writes; consider a queue for high-volume tenants</w:t>
            </w:r>
          </w:p>
        </w:tc>
        <w:tc>
          <w:tcPr>
            <w:tcW w:type="dxa" w:w="33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Redis-backed queue can buffer bursts before writing to MongoDB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Cost under high token usage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Hard token caps per plan enforced before calling Gemini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Prevents runaway spend from a single tenant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9. Security Requirements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5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Cross-tenant data access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Every query filtered by tenantId at the DB layer; Pinecone namespace = tenant ID, never queried across namespaces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Auth tokens</w:t>
            </w:r>
          </w:p>
        </w:tc>
        <w:tc>
          <w:tcPr>
            <w:tcW w:type="dxa" w:w="6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Short-lived JWT access tokens; refresh flow for long sessions; secrets never stored client-side beyond memory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Role enforcement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Middleware checks role claim in JWT against required permission for each route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6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All API keys and DB credentials in environment variables / hosting provider's secret store, never committed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Transport security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HTTPS enforced on all endpoints; Stripe webhook signatures verified before processing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Input handling</w:t>
            </w:r>
          </w:p>
        </w:tc>
        <w:tc>
          <w:tcPr>
            <w:tcW w:type="dxa" w:w="65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Uploaded files size- and type-restricted; URLs validated before fetch to prevent SSRF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10. Deployment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Frontend: </w:t>
      </w:r>
      <w:r>
        <w:rPr>
          <w:color w:val="1E2233"/>
          <w:sz w:val="21"/>
          <w:szCs w:val="21"/>
        </w:rPr>
        <w:t xml:space="preserve">deployed to Vercel from the main branch; preview deployments generated per pull request.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Backend: </w:t>
      </w:r>
      <w:r>
        <w:rPr>
          <w:color w:val="1E2233"/>
          <w:sz w:val="21"/>
          <w:szCs w:val="21"/>
        </w:rPr>
        <w:t xml:space="preserve">containerized and deployed to Railway; horizontal auto-scaling configured on CPU and request-rate thresholds.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Environments: </w:t>
      </w:r>
      <w:r>
        <w:rPr>
          <w:color w:val="1E2233"/>
          <w:sz w:val="21"/>
          <w:szCs w:val="21"/>
        </w:rPr>
        <w:t xml:space="preserve">separate development, staging, and production environments with isolated databases and API keys.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CI checks: </w:t>
      </w:r>
      <w:r>
        <w:rPr>
          <w:color w:val="1E2233"/>
          <w:sz w:val="21"/>
          <w:szCs w:val="21"/>
        </w:rPr>
        <w:t xml:space="preserve">lint, type-check, and test suite run on every pull request before merge.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11. Monitoring &amp; Observability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Structured request logging (tenant ID, route, latency, status code) for every API call.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Per-tenant usage metrics written to usage_events, powering both the analytics dashboard and billing accuracy checks.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Error tracking on the API layer with alerting on elevated error rates or LLM/vector-store timeouts.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Latency dashboards tracking the sub-2-second target end to end, and per-stage (retrieval vs. generation) to isolate regressions.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12. Testing Strategy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Unit tests for chunking logic, tenant-scoping middleware, and billing calculations.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Integration tests for the full ingest → embed → retrieve → answer pipeline against a test Pinecone namespace.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Load testing to validate the 500+ concurrent user / sub-2s latency targets before each major release.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Manual accuracy review sampling for a set of tenant Q&amp;A pairs to catch retrieval-quality regressions automated tests won't.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13. Technical Risks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Chunking strategy directly affects answer quality — needs tuning per content type (dense PDF vs. marketing web copy), not a single fixed setting.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Gemini/Pinecone rate limits or outages are external dependencies outside the team's control; the API layer should degrade gracefully rather than fail hard.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Token-cost visibility must stay accurate in real time, or a tenant's auto-pause (billing) and analytics will disagree with actual Gemini spend.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E2233"/>
          <w:sz w:val="21"/>
          <w:szCs w:val="21"/>
        </w:rPr>
        <w:t xml:space="preserve">Gemini's embedding space is not interchangeable with other providers' — if the model is ever swapped later, every existing vector must be re-embedded and re-upserted; there is no in-place migration.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2"/>
        <w:sz w:val="16"/>
        <w:szCs w:val="16"/>
      </w:rPr>
      <w:t xml:space="preserve">Page </w:t>
    </w:r>
    <w:r>
      <w:rPr>
        <w:color w:val="5B61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172"/>
        <w:sz w:val="16"/>
        <w:szCs w:val="16"/>
      </w:rPr>
      <w:t xml:space="preserve"> of </w:t>
    </w:r>
    <w:r>
      <w:rPr>
        <w:color w:val="5B61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AE3" w:sz="6" w:space="4"/>
      </w:pBdr>
    </w:pPr>
    <w:r>
      <w:rPr>
        <w:b/>
        <w:bCs/>
        <w:color w:val="12172B"/>
        <w:sz w:val="17"/>
        <w:szCs w:val="17"/>
      </w:rPr>
      <w:t xml:space="preserve">ContextIQ</w:t>
    </w:r>
    <w:r>
      <w:rPr>
        <w:color w:val="5B6172"/>
        <w:sz w:val="17"/>
        <w:szCs w:val="17"/>
      </w:rPr>
      <w:t xml:space="preserve">   —   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2026-08-21T09:37:09.395Z</dcterms:created>
  <dcterms:modified xsi:type="dcterms:W3CDTF">2026-08-21T09:37:09.416Z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