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73" w:line="175" w:lineRule="auto"/>
        <w:ind w:left="228" w:right="226" w:firstLine="0"/>
        <w:jc w:val="center"/>
        <w:rPr>
          <w:rFonts w:ascii="Quattrocento Sans" w:cs="Quattrocento Sans" w:eastAsia="Quattrocento Sans" w:hAnsi="Quattrocento Sans"/>
          <w:b w:val="1"/>
          <w:sz w:val="34"/>
          <w:szCs w:val="34"/>
        </w:rPr>
      </w:pPr>
      <w:sdt>
        <w:sdtPr>
          <w:tag w:val="goog_rdk_0"/>
        </w:sdtPr>
        <w:sdtContent>
          <w:r w:rsidDel="00000000" w:rsidR="00000000" w:rsidRPr="00000000">
            <w:rPr>
              <w:rFonts w:ascii="Arial" w:cs="Arial" w:eastAsia="Arial" w:hAnsi="Arial"/>
              <w:b w:val="1"/>
              <w:sz w:val="34"/>
              <w:szCs w:val="34"/>
              <w:rtl w:val="0"/>
            </w:rPr>
            <w:t xml:space="preserve">Исследование современных моделей недвижимости на личностное развитие</w:t>
          </w:r>
        </w:sdtContent>
      </w:sdt>
    </w:p>
    <w:p w:rsidR="00000000" w:rsidDel="00000000" w:rsidP="00000000" w:rsidRDefault="00000000" w:rsidRPr="00000000" w14:paraId="00000002">
      <w:pPr>
        <w:spacing w:before="198" w:lineRule="auto"/>
        <w:ind w:left="0" w:right="9195" w:firstLine="0"/>
        <w:jc w:val="center"/>
        <w:rPr>
          <w:rFonts w:ascii="Quattrocento Sans" w:cs="Quattrocento Sans" w:eastAsia="Quattrocento Sans" w:hAnsi="Quattrocento Sans"/>
          <w:b w:val="1"/>
          <w:sz w:val="34"/>
          <w:szCs w:val="34"/>
        </w:rPr>
      </w:pPr>
      <w:sdt>
        <w:sdtPr>
          <w:tag w:val="goog_rdk_1"/>
        </w:sdtPr>
        <w:sdtContent>
          <w:r w:rsidDel="00000000" w:rsidR="00000000" w:rsidRPr="00000000">
            <w:rPr>
              <w:rFonts w:ascii="Arial" w:cs="Arial" w:eastAsia="Arial" w:hAnsi="Arial"/>
              <w:b w:val="1"/>
              <w:sz w:val="34"/>
              <w:szCs w:val="34"/>
              <w:rtl w:val="0"/>
            </w:rPr>
            <w:t xml:space="preserve">Введение</w:t>
          </w:r>
        </w:sdtContent>
      </w:sdt>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2.00000000000003" w:lineRule="auto"/>
        <w:ind w:left="0" w:right="13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Современные модели недвижимости и способы поиска жилья сегодня занимают центральное место в формировании качества жизни и личностного развития. Цифровые платформы и специализированные сервисы позволяют учитывать не только материальные параметры жилья, но и психологические, социальные и культурные аспекты, влияющие на благополучие человека. При этом выбор жилья часто определяется не только стоимостью или месторасположением, но и возможностью подобрать </w:t>
      </w:r>
      <w:r w:rsidDel="00000000" w:rsidR="00000000" w:rsidRPr="00000000">
        <w:rPr>
          <w:sz w:val="24"/>
          <w:szCs w:val="24"/>
          <w:rtl w:val="0"/>
        </w:rPr>
        <w:t xml:space="preserve">соседей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разделяющих схожие интересы и образ жизни. Такой фактор оказывает существенное влияние на эмоциональное состояние, мотивацию и даже академическую или профессиональную успешность. Личный опыт подтверждает, что окружение играет решающую роль в формировании привычек и жизненных ориентиров. Например, во время учёбы я жил с людьми, для которых образование было приоритетом — их </w:t>
      </w:r>
      <w:r w:rsidDel="00000000" w:rsidR="00000000" w:rsidRPr="00000000">
        <w:rPr>
          <w:sz w:val="24"/>
          <w:szCs w:val="24"/>
          <w:rtl w:val="0"/>
        </w:rPr>
        <w:t xml:space="preserve">целеустремленность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постоянство вдохновляли меня, и мои академические успехи росли вместе с их усилиями. Однако, когда я переехал и начал жить с одноклассниками, </w:t>
      </w:r>
      <w:r w:rsidDel="00000000" w:rsidR="00000000" w:rsidRPr="00000000">
        <w:rPr>
          <w:sz w:val="24"/>
          <w:szCs w:val="24"/>
          <w:rtl w:val="0"/>
        </w:rPr>
        <w:t xml:space="preserve">увлеченными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играми, я заметил, как постепенно начал тянуться к развлечениям, что негативно отразилось на моих оценках в университете. В свою очередь, проживание в колливинге с бизнесменами, которые ведут осознанный образ жизни и уже добились успеха, вдохновило меня работать усерднее и пересмотреть жизненные приоритеты, что привело к увеличению </w:t>
      </w:r>
      <w:r w:rsidDel="00000000" w:rsidR="00000000" w:rsidRPr="00000000">
        <w:rPr>
          <w:sz w:val="24"/>
          <w:szCs w:val="24"/>
          <w:rtl w:val="0"/>
        </w:rPr>
        <w:t xml:space="preserve">своего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заработка. Несмотря на положительное влияние такого окружения, мне всё равно не хватало человека, с которым можно было бы глубже обсудить темы, связанные с профессиональным развитием, например, практиковаться в английском,</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4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кодинге и обмениваться опытом в данной сфере.</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2.00000000000003" w:lineRule="auto"/>
        <w:ind w:left="141" w:right="140"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проверки гипотез исследования были собраны данные, отражающие как психологические аспекты выбора соседей, так и реальные предпочтения форм проживания у различных категорий респондентов. Структура Excel-файла включает две основные части:</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4"/>
          <w:tab w:val="left" w:leader="none" w:pos="727"/>
        </w:tabs>
        <w:spacing w:after="0" w:before="192" w:line="242" w:lineRule="auto"/>
        <w:ind w:left="727" w:right="139" w:hanging="3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Психологическая часть.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представлены средние оценки по ключевым критериям выбора жилья и соседей (например, возможность найти </w:t>
      </w:r>
      <w:r w:rsidDel="00000000" w:rsidR="00000000" w:rsidRPr="00000000">
        <w:rPr>
          <w:sz w:val="24"/>
          <w:szCs w:val="24"/>
          <w:rtl w:val="0"/>
        </w:rPr>
        <w:t xml:space="preserve">жилье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удобной цене, наличие обширного выбора услуг, </w:t>
      </w:r>
      <w:r w:rsidDel="00000000" w:rsidR="00000000" w:rsidRPr="00000000">
        <w:rPr>
          <w:sz w:val="24"/>
          <w:szCs w:val="24"/>
          <w:rtl w:val="0"/>
        </w:rPr>
        <w:t xml:space="preserve">надежность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окружающих) с разбивкой по способам поиска: через друзей, через социальные сети и через специализированные сайты. Так, для критерия «Найти жильё по удобной цене» средние оценки составляют: через друзей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через соцсети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через специализированные сайты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общим итогом около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4"/>
          <w:tab w:val="left" w:leader="none" w:pos="727"/>
        </w:tabs>
        <w:spacing w:after="0" w:before="195" w:line="252.00000000000003" w:lineRule="auto"/>
        <w:ind w:left="727" w:right="136" w:hanging="3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Демографическая часть.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приведена сводная таблица, где респонденты разделены по роду занятий (не работают/не учатся, работники, студенты) и форме проживания (один(а), с другом/подругой, с </w:t>
      </w:r>
      <w:r w:rsidDel="00000000" w:rsidR="00000000" w:rsidRPr="00000000">
        <w:rPr>
          <w:sz w:val="24"/>
          <w:szCs w:val="24"/>
          <w:rtl w:val="0"/>
        </w:rPr>
        <w:t xml:space="preserve">семьей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соседом/соседкой). Например, среди студентов преобладают те, кто проживает не в одиночестве: 73 респондента живут с другом/подругой, 40 — с семьёй, что указывает на влияние социальной среды на личностное развитие.</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52.00000000000003" w:lineRule="auto"/>
        <w:ind w:left="141" w:right="139"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данное исследование посвящено изучению влияния современных моделей </w:t>
      </w:r>
      <w:r w:rsidDel="00000000" w:rsidR="00000000" w:rsidRPr="00000000">
        <w:rPr>
          <w:sz w:val="24"/>
          <w:szCs w:val="24"/>
          <w:rtl w:val="0"/>
        </w:rPr>
        <w:t xml:space="preserve">недвижимости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качество жизни с акцентом на личностное развитие. Глубокий анализ существующих подходов, выявление их слабых мест и оценка потенциала новых технологий позволят сформулиро- вать рекомендации по созданию более эффективных и гармоничных жилищных пространств, спо- собствующих всестороннему развитию человека в условиях современной урбанистической среды.</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Rule="auto"/>
        <w:ind w:left="141" w:right="0" w:firstLine="0"/>
        <w:jc w:val="both"/>
        <w:rPr>
          <w:rFonts w:ascii="Quattrocento Sans" w:cs="Quattrocento Sans" w:eastAsia="Quattrocento Sans" w:hAnsi="Quattrocento Sans"/>
          <w:b w:val="1"/>
          <w:sz w:val="34"/>
          <w:szCs w:val="34"/>
        </w:rPr>
      </w:pPr>
      <w:sdt>
        <w:sdtPr>
          <w:tag w:val="goog_rdk_2"/>
        </w:sdtPr>
        <w:sdtContent>
          <w:r w:rsidDel="00000000" w:rsidR="00000000" w:rsidRPr="00000000">
            <w:rPr>
              <w:rFonts w:ascii="Arial" w:cs="Arial" w:eastAsia="Arial" w:hAnsi="Arial"/>
              <w:b w:val="1"/>
              <w:sz w:val="34"/>
              <w:szCs w:val="34"/>
              <w:rtl w:val="0"/>
            </w:rPr>
            <w:t xml:space="preserve">Формулировка гипотез исследования</w:t>
          </w:r>
        </w:sdtContent>
      </w:sdt>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2.00000000000003" w:lineRule="auto"/>
        <w:ind w:left="141"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основе собранных данных и общей темы исследования были сформулированы следующие гипо- тезы:</w:t>
      </w:r>
    </w:p>
    <w:p w:rsidR="00000000" w:rsidDel="00000000" w:rsidP="00000000" w:rsidRDefault="00000000" w:rsidRPr="00000000" w14:paraId="0000000C">
      <w:pPr>
        <w:pStyle w:val="Heading1"/>
        <w:numPr>
          <w:ilvl w:val="1"/>
          <w:numId w:val="1"/>
        </w:numPr>
        <w:tabs>
          <w:tab w:val="left" w:leader="none" w:pos="726"/>
        </w:tabs>
        <w:spacing w:after="0" w:before="193" w:line="240" w:lineRule="auto"/>
        <w:ind w:left="726" w:right="0" w:hanging="232.99999999999997"/>
        <w:jc w:val="left"/>
        <w:rPr/>
        <w:sectPr>
          <w:footerReference r:id="rId7" w:type="default"/>
          <w:pgSz w:h="16840" w:w="11910" w:orient="portrait"/>
          <w:pgMar w:bottom="180" w:top="400" w:left="425" w:right="425" w:header="0" w:footer="0"/>
          <w:pgNumType w:start="1"/>
        </w:sectPr>
      </w:pPr>
      <w:r w:rsidDel="00000000" w:rsidR="00000000" w:rsidRPr="00000000">
        <w:rPr>
          <w:rtl w:val="0"/>
        </w:rPr>
        <w:t xml:space="preserve">Нулевая гипотеза (H0):</w:t>
      </w:r>
    </w:p>
    <w:p w:rsidR="00000000" w:rsidDel="00000000" w:rsidP="00000000" w:rsidRDefault="00000000" w:rsidRPr="00000000" w14:paraId="000000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239"/>
          <w:tab w:val="left" w:leader="none" w:pos="1242"/>
        </w:tabs>
        <w:spacing w:after="0" w:before="84" w:line="252.00000000000003" w:lineRule="auto"/>
        <w:ind w:left="1242" w:right="139" w:hanging="3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Средние оценки важности возможности выбора соседа с похожими интересами не зависят от способа поиска (через друзей, через социальные сети или через специализированные сайты). Различия между методами не являются статистически значимыми.</w:t>
      </w:r>
    </w:p>
    <w:p w:rsidR="00000000" w:rsidDel="00000000" w:rsidP="00000000" w:rsidRDefault="00000000" w:rsidRPr="00000000" w14:paraId="000000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239"/>
          <w:tab w:val="left" w:leader="none" w:pos="1242"/>
        </w:tabs>
        <w:spacing w:after="0" w:before="97" w:line="252.00000000000003" w:lineRule="auto"/>
        <w:ind w:left="1242" w:right="142" w:hanging="3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Нет статистически значимой взаимосвязи между родом занятий (студент, работник, не работают/не учатся) и формой проживания респондентов.</w:t>
      </w:r>
    </w:p>
    <w:p w:rsidR="00000000" w:rsidDel="00000000" w:rsidP="00000000" w:rsidRDefault="00000000" w:rsidRPr="00000000" w14:paraId="0000000F">
      <w:pPr>
        <w:pStyle w:val="Heading1"/>
        <w:numPr>
          <w:ilvl w:val="1"/>
          <w:numId w:val="1"/>
        </w:numPr>
        <w:tabs>
          <w:tab w:val="left" w:leader="none" w:pos="726"/>
        </w:tabs>
        <w:spacing w:after="0" w:before="193" w:line="240" w:lineRule="auto"/>
        <w:ind w:left="726" w:right="0" w:hanging="232.99999999999997"/>
        <w:jc w:val="left"/>
        <w:rPr/>
      </w:pPr>
      <w:r w:rsidDel="00000000" w:rsidR="00000000" w:rsidRPr="00000000">
        <w:rPr>
          <w:rtl w:val="0"/>
        </w:rPr>
        <w:t xml:space="preserve">Альтернативная гипотеза (H1):</w:t>
      </w:r>
    </w:p>
    <w:p w:rsidR="00000000" w:rsidDel="00000000" w:rsidP="00000000" w:rsidRDefault="00000000" w:rsidRPr="00000000" w14:paraId="000000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239"/>
          <w:tab w:val="left" w:leader="none" w:pos="1242"/>
        </w:tabs>
        <w:spacing w:after="0" w:before="211" w:line="252.00000000000003" w:lineRule="auto"/>
        <w:ind w:left="1242" w:right="138" w:hanging="3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Средние оценки важности возможности выбора соседа с похожими интересами существен- но зависят от метода поиска, что указывает на влияние современных цифровых сервисов на качество социальной среды и, как следствие, на личностное развитие.</w:t>
      </w:r>
    </w:p>
    <w:p w:rsidR="00000000" w:rsidDel="00000000" w:rsidP="00000000" w:rsidRDefault="00000000" w:rsidRPr="00000000" w14:paraId="000000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239"/>
          <w:tab w:val="left" w:leader="none" w:pos="1242"/>
        </w:tabs>
        <w:spacing w:after="0" w:before="97" w:line="252.00000000000003" w:lineRule="auto"/>
        <w:ind w:left="1242" w:right="138" w:hanging="3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Существует статистически значимая взаимосвязь между родом занятий и формой прожи- вания, что подтверждает влияние социального окружения и выбранных моделей недви- жимости на личностное развитие.</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before="1" w:lineRule="auto"/>
        <w:ind w:left="141" w:right="0" w:firstLine="0"/>
        <w:jc w:val="left"/>
        <w:rPr>
          <w:rFonts w:ascii="Quattrocento Sans" w:cs="Quattrocento Sans" w:eastAsia="Quattrocento Sans" w:hAnsi="Quattrocento Sans"/>
          <w:b w:val="1"/>
          <w:sz w:val="34"/>
          <w:szCs w:val="34"/>
        </w:rPr>
      </w:pPr>
      <w:sdt>
        <w:sdtPr>
          <w:tag w:val="goog_rdk_3"/>
        </w:sdtPr>
        <w:sdtContent>
          <w:r w:rsidDel="00000000" w:rsidR="00000000" w:rsidRPr="00000000">
            <w:rPr>
              <w:rFonts w:ascii="Arial" w:cs="Arial" w:eastAsia="Arial" w:hAnsi="Arial"/>
              <w:b w:val="1"/>
              <w:sz w:val="34"/>
              <w:szCs w:val="34"/>
              <w:rtl w:val="0"/>
            </w:rPr>
            <w:t xml:space="preserve">Применение регрессионного анализа</w:t>
          </w:r>
        </w:sdtContent>
      </w:sdt>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2.00000000000003" w:lineRule="auto"/>
        <w:ind w:left="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проверки влияния способа поиска соседа на общий уровень </w:t>
      </w:r>
      <w:r w:rsidDel="00000000" w:rsidR="00000000" w:rsidRPr="00000000">
        <w:rPr>
          <w:sz w:val="24"/>
          <w:szCs w:val="24"/>
          <w:rtl w:val="0"/>
        </w:rPr>
        <w:t xml:space="preserve">удовлетворенности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можно использовать регрессионный анализ. Предлагаемая модель имеет следующий вид:</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427" w:lineRule="auto"/>
        <w:ind w:left="141" w:right="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Общий итог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β</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β</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subscript"/>
          <w:rtl w:val="0"/>
        </w:rPr>
        <w:t xml:space="preserve">1</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Через друзей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β</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subscript"/>
          <w:rtl w:val="0"/>
        </w:rPr>
        <w:t xml:space="preserve">2</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Через соцсети</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β</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subscript"/>
          <w:rtl w:val="0"/>
        </w:rPr>
        <w:t xml:space="preserve">3</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Через специализированные сайты</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5"/>
          <w:tab w:val="left" w:leader="none" w:pos="727"/>
        </w:tabs>
        <w:spacing w:after="0" w:before="8" w:line="252.00000000000003" w:lineRule="auto"/>
        <w:ind w:left="727" w:right="140" w:hanging="2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Общий итог — зависимая переменная, отражающая суммарную оценку важности возможности выбора соседа с похожими интересами;</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5"/>
          <w:tab w:val="left" w:leader="none" w:pos="727"/>
        </w:tabs>
        <w:spacing w:after="0" w:before="198" w:line="252.00000000000003" w:lineRule="auto"/>
        <w:ind w:left="727" w:right="139" w:hanging="2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Через друзей, Через соцсети, Через специализированные сайты — независимые переменные, представляющие средние оценки для каждого способа поиска.</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2" w:lineRule="auto"/>
        <w:ind w:left="141" w:right="136"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коэффициенты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β</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β</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subscript"/>
          <w:rtl w:val="0"/>
        </w:rPr>
        <w:t xml:space="preserve">2</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β</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subscript"/>
          <w:rtl w:val="0"/>
        </w:rPr>
        <w:t xml:space="preserve">3</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окажутся статистически значимыми (например, с уровнем значи- мости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p &lt;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 можно отвергнуть нулевую гипотезу в пользу альтернативной, что подтвердит, что метод поиска действительно влияет на восприятие значимости критериев выбора жилья и соседей.</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2.00000000000003" w:lineRule="auto"/>
        <w:ind w:left="141" w:right="138"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Аналогичным образом, для демографической части можно применить логистическую регрессию или дискриминантный анализ для оценки влияния рода занятий на форму проживания. Например, можно создать модель, где зависимой переменной будет бинарная переменная (например, проживание в одиночестве против проживания с другими), а независимыми — категории рода занятий, закодированные с помощью dummy-переменных.</w:t>
      </w:r>
    </w:p>
    <w:sectPr>
      <w:type w:val="nextPage"/>
      <w:pgSz w:h="16840" w:w="11910" w:orient="portrait"/>
      <w:pgMar w:bottom="180" w:top="480" w:left="425" w:right="425"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Times New Roman"/>
  <w:font w:name="Calibri"/>
  <w:font w:name="Verdana"/>
  <w:font w:name="Trebuchet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3429000</wp:posOffset>
              </wp:positionH>
              <wp:positionV relativeFrom="paragraph">
                <wp:posOffset>10541000</wp:posOffset>
              </wp:positionV>
              <wp:extent cx="172720" cy="226695"/>
              <wp:effectExtent b="0" l="0" r="0" t="0"/>
              <wp:wrapNone/>
              <wp:docPr id="2" name=""/>
              <a:graphic>
                <a:graphicData uri="http://schemas.microsoft.com/office/word/2010/wordprocessingShape">
                  <wps:wsp>
                    <wps:cNvSpPr/>
                    <wps:cNvPr id="2" name="Shape 2"/>
                    <wps:spPr>
                      <a:xfrm>
                        <a:off x="5264403" y="3671415"/>
                        <a:ext cx="163195" cy="217170"/>
                      </a:xfrm>
                      <a:prstGeom prst="rect">
                        <a:avLst/>
                      </a:prstGeom>
                      <a:noFill/>
                      <a:ln>
                        <a:noFill/>
                      </a:ln>
                    </wps:spPr>
                    <wps:txbx>
                      <w:txbxContent>
                        <w:p w:rsidR="00000000" w:rsidDel="00000000" w:rsidP="00000000" w:rsidRDefault="00000000" w:rsidRPr="00000000">
                          <w:pPr>
                            <w:spacing w:after="0" w:before="20.999999046325684"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3429000</wp:posOffset>
              </wp:positionH>
              <wp:positionV relativeFrom="paragraph">
                <wp:posOffset>10541000</wp:posOffset>
              </wp:positionV>
              <wp:extent cx="172720" cy="226695"/>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72720" cy="2266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7" w:hanging="300"/>
      </w:pPr>
      <w:rPr>
        <w:rFonts w:ascii="Times New Roman" w:cs="Times New Roman" w:eastAsia="Times New Roman" w:hAnsi="Times New Roman"/>
        <w:b w:val="0"/>
        <w:i w:val="0"/>
        <w:sz w:val="24"/>
        <w:szCs w:val="24"/>
      </w:rPr>
    </w:lvl>
    <w:lvl w:ilvl="1">
      <w:start w:val="0"/>
      <w:numFmt w:val="bullet"/>
      <w:lvlText w:val="•"/>
      <w:lvlJc w:val="left"/>
      <w:pPr>
        <w:ind w:left="727" w:hanging="235"/>
      </w:pPr>
      <w:rPr>
        <w:rFonts w:ascii="Times New Roman" w:cs="Times New Roman" w:eastAsia="Times New Roman" w:hAnsi="Times New Roman"/>
        <w:b w:val="0"/>
        <w:i w:val="0"/>
        <w:sz w:val="24"/>
        <w:szCs w:val="24"/>
      </w:rPr>
    </w:lvl>
    <w:lvl w:ilvl="2">
      <w:start w:val="1"/>
      <w:numFmt w:val="decimal"/>
      <w:lvlText w:val="%3."/>
      <w:lvlJc w:val="left"/>
      <w:pPr>
        <w:ind w:left="1242" w:hanging="300"/>
      </w:pPr>
      <w:rPr>
        <w:rFonts w:ascii="Times New Roman" w:cs="Times New Roman" w:eastAsia="Times New Roman" w:hAnsi="Times New Roman"/>
        <w:b w:val="0"/>
        <w:i w:val="0"/>
        <w:sz w:val="24"/>
        <w:szCs w:val="24"/>
      </w:rPr>
    </w:lvl>
    <w:lvl w:ilvl="3">
      <w:start w:val="0"/>
      <w:numFmt w:val="bullet"/>
      <w:lvlText w:val="•"/>
      <w:lvlJc w:val="left"/>
      <w:pPr>
        <w:ind w:left="3421" w:hanging="300"/>
      </w:pPr>
      <w:rPr/>
    </w:lvl>
    <w:lvl w:ilvl="4">
      <w:start w:val="0"/>
      <w:numFmt w:val="bullet"/>
      <w:lvlText w:val="•"/>
      <w:lvlJc w:val="left"/>
      <w:pPr>
        <w:ind w:left="4511" w:hanging="300"/>
      </w:pPr>
      <w:rPr/>
    </w:lvl>
    <w:lvl w:ilvl="5">
      <w:start w:val="0"/>
      <w:numFmt w:val="bullet"/>
      <w:lvlText w:val="•"/>
      <w:lvlJc w:val="left"/>
      <w:pPr>
        <w:ind w:left="5602" w:hanging="300"/>
      </w:pPr>
      <w:rPr/>
    </w:lvl>
    <w:lvl w:ilvl="6">
      <w:start w:val="0"/>
      <w:numFmt w:val="bullet"/>
      <w:lvlText w:val="•"/>
      <w:lvlJc w:val="left"/>
      <w:pPr>
        <w:ind w:left="6693" w:hanging="300"/>
      </w:pPr>
      <w:rPr/>
    </w:lvl>
    <w:lvl w:ilvl="7">
      <w:start w:val="0"/>
      <w:numFmt w:val="bullet"/>
      <w:lvlText w:val="•"/>
      <w:lvlJc w:val="left"/>
      <w:pPr>
        <w:ind w:left="7783" w:hanging="300"/>
      </w:pPr>
      <w:rPr/>
    </w:lvl>
    <w:lvl w:ilvl="8">
      <w:start w:val="0"/>
      <w:numFmt w:val="bullet"/>
      <w:lvlText w:val="•"/>
      <w:lvlJc w:val="left"/>
      <w:pPr>
        <w:ind w:left="8874" w:hanging="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3" w:lineRule="auto"/>
      <w:ind w:left="726" w:hanging="232.99999999999997"/>
    </w:pPr>
    <w:rPr>
      <w:rFonts w:ascii="Cambria" w:cs="Cambria" w:eastAsia="Cambria" w:hAnsi="Cambr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ru-RU"/>
    </w:rPr>
  </w:style>
  <w:style w:type="paragraph" w:styleId="BodyText">
    <w:name w:val="Body Text"/>
    <w:basedOn w:val="Normal"/>
    <w:uiPriority w:val="1"/>
    <w:qFormat w:val="1"/>
    <w:pPr>
      <w:ind w:left="141"/>
      <w:jc w:val="both"/>
    </w:pPr>
    <w:rPr>
      <w:rFonts w:ascii="Times New Roman" w:cs="Times New Roman" w:eastAsia="Times New Roman" w:hAnsi="Times New Roman"/>
      <w:sz w:val="24"/>
      <w:szCs w:val="24"/>
      <w:lang w:bidi="ar-SA" w:eastAsia="en-US" w:val="ru-RU"/>
    </w:rPr>
  </w:style>
  <w:style w:type="paragraph" w:styleId="Heading1">
    <w:name w:val="Heading 1"/>
    <w:basedOn w:val="Normal"/>
    <w:uiPriority w:val="1"/>
    <w:qFormat w:val="1"/>
    <w:pPr>
      <w:spacing w:before="193"/>
      <w:ind w:left="726" w:hanging="233"/>
      <w:outlineLvl w:val="1"/>
    </w:pPr>
    <w:rPr>
      <w:rFonts w:ascii="Cambria" w:cs="Cambria" w:eastAsia="Cambria" w:hAnsi="Cambria"/>
      <w:b w:val="1"/>
      <w:bCs w:val="1"/>
      <w:sz w:val="24"/>
      <w:szCs w:val="24"/>
      <w:lang w:bidi="ar-SA" w:eastAsia="en-US" w:val="ru-RU"/>
    </w:rPr>
  </w:style>
  <w:style w:type="paragraph" w:styleId="ListParagraph">
    <w:name w:val="List Paragraph"/>
    <w:basedOn w:val="Normal"/>
    <w:uiPriority w:val="1"/>
    <w:qFormat w:val="1"/>
    <w:pPr>
      <w:spacing w:before="97"/>
      <w:ind w:left="727" w:right="139" w:hanging="300"/>
      <w:jc w:val="both"/>
    </w:pPr>
    <w:rPr>
      <w:rFonts w:ascii="Times New Roman" w:cs="Times New Roman" w:eastAsia="Times New Roman" w:hAnsi="Times New Roman"/>
      <w:lang w:bidi="ar-SA" w:eastAsia="en-US" w:val="ru-RU"/>
    </w:rPr>
  </w:style>
  <w:style w:type="paragraph" w:styleId="TableParagraph">
    <w:name w:val="Table Paragraph"/>
    <w:basedOn w:val="Normal"/>
    <w:uiPriority w:val="1"/>
    <w:qFormat w:val="1"/>
    <w:pPr/>
    <w:rPr>
      <w:lang w:bidi="ar-SA" w:eastAsia="en-US"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fI/sHytqQiWBxL8wbBvWbshXHQ==">CgMxLjAaJQoBMBIgCh4IB0IaChFRdWF0dHJvY2VudG8gU2FucxIFQXJpYWwaJQoBMRIgCh4IB0IaChFRdWF0dHJvY2VudG8gU2FucxIFQXJpYWwaJQoBMhIgCh4IB0IaChFRdWF0dHJvY2VudG8gU2FucxIFQXJpYWwaJQoBMxIgCh4IB0IaChFRdWF0dHJvY2VudG8gU2FucxIFQXJpYWw4AHIhMS1ja0pkaFcyeDJobVI3RE9wSTQzX09jZl9zVTFGWFJv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2025-03-29T13:06:37Z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TeX</vt:lpwstr>
  </property>
  <property fmtid="{D5CDD505-2E9C-101B-9397-08002B2CF9AE}" pid="4" name="LastSaved">
    <vt:filetime>2025-03-29T00:00:00Z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