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4CE5" w14:textId="77777777" w:rsidR="00E9429C" w:rsidRPr="0095648C" w:rsidRDefault="007A3B6C" w:rsidP="009564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5648C"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14:paraId="7B77F0B0" w14:textId="77777777" w:rsidR="00E9429C" w:rsidRPr="0095648C" w:rsidRDefault="007A3B6C" w:rsidP="009564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5648C">
        <w:rPr>
          <w:rFonts w:ascii="Times New Roman" w:hAnsi="Times New Roman" w:cs="Times New Roman"/>
          <w:sz w:val="28"/>
          <w:szCs w:val="28"/>
        </w:rPr>
        <w:t>Проверка статистических гипотез. Гипотеза однородности</w:t>
      </w:r>
    </w:p>
    <w:p w14:paraId="435987BF" w14:textId="77777777" w:rsidR="00E9429C" w:rsidRPr="000C433E" w:rsidRDefault="00E9429C" w:rsidP="0095648C">
      <w:pPr>
        <w:jc w:val="both"/>
      </w:pPr>
    </w:p>
    <w:p w14:paraId="5CB9954F" w14:textId="77777777" w:rsidR="00E9429C" w:rsidRPr="0095648C" w:rsidRDefault="007A3B6C" w:rsidP="0095648C">
      <w:pPr>
        <w:jc w:val="both"/>
        <w:rPr>
          <w:iCs/>
        </w:rPr>
      </w:pPr>
      <w:r w:rsidRPr="0095648C">
        <w:rPr>
          <w:b/>
          <w:iCs/>
        </w:rPr>
        <w:t>Цель работы:</w:t>
      </w:r>
    </w:p>
    <w:p w14:paraId="56A1D941" w14:textId="27BE8A6B" w:rsidR="00E9429C" w:rsidRDefault="007A3B6C" w:rsidP="0095648C">
      <w:pPr>
        <w:ind w:firstLine="708"/>
        <w:jc w:val="both"/>
      </w:pPr>
      <w:r w:rsidRPr="000C433E">
        <w:t>Проверка статистических гипотез о однородности выборочных совокупностей, ис</w:t>
      </w:r>
      <w:bookmarkStart w:id="0" w:name="_GoBack"/>
      <w:bookmarkEnd w:id="0"/>
      <w:r w:rsidRPr="000C433E">
        <w:t xml:space="preserve">пользуя критерии Хи-квадрат и Колмогорова. </w:t>
      </w:r>
    </w:p>
    <w:p w14:paraId="464430AE" w14:textId="77777777" w:rsidR="0095648C" w:rsidRPr="000C433E" w:rsidRDefault="0095648C" w:rsidP="0095648C">
      <w:pPr>
        <w:ind w:firstLine="708"/>
        <w:jc w:val="both"/>
      </w:pPr>
    </w:p>
    <w:p w14:paraId="1A187F7D" w14:textId="77777777" w:rsidR="00E9429C" w:rsidRPr="0095648C" w:rsidRDefault="007A3B6C" w:rsidP="0095648C">
      <w:pPr>
        <w:jc w:val="both"/>
        <w:rPr>
          <w:b/>
          <w:iCs/>
        </w:rPr>
      </w:pPr>
      <w:r w:rsidRPr="0095648C">
        <w:rPr>
          <w:b/>
          <w:iCs/>
        </w:rPr>
        <w:t>Задание.</w:t>
      </w:r>
    </w:p>
    <w:p w14:paraId="38DF8EF7" w14:textId="373A376E" w:rsidR="00E9429C" w:rsidRDefault="007A3B6C" w:rsidP="0095648C">
      <w:pPr>
        <w:ind w:firstLine="708"/>
        <w:jc w:val="both"/>
      </w:pPr>
      <w:r w:rsidRPr="000C433E">
        <w:t xml:space="preserve">В файле “Данные” на листе “Котировки” приведены цены закрытия акций на ММВБ за период с 05.01.2015 по 02.09.2015 с периодичностью 1 день (торговый). Для указанной в варианте задания ценной бумаги, используя критерии однородности Колмогорова и Хи-квадрат, на уровне значимости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=0,05</m:t>
        </m:r>
      </m:oMath>
      <w:r w:rsidRPr="000C433E">
        <w:t xml:space="preserve"> проверить гипотезу о том, что распределения </w:t>
      </w:r>
      <w:proofErr w:type="gramStart"/>
      <w:r w:rsidRPr="000C433E">
        <w:t>ежедневных  относительных</w:t>
      </w:r>
      <w:proofErr w:type="gramEnd"/>
      <w:r w:rsidRPr="000C433E">
        <w:t xml:space="preserve"> приращений котировок за периоды с 05.01.2015 по 04.30.2015 и с 05.05.2015 по 02.09.2015 не различаются. Указать достигнутый уровень значимости (для критерия Хи-квадрат).</w:t>
      </w:r>
    </w:p>
    <w:p w14:paraId="4F6D5273" w14:textId="77777777" w:rsidR="00885662" w:rsidRPr="000C433E" w:rsidRDefault="00885662" w:rsidP="0095648C">
      <w:pPr>
        <w:ind w:firstLine="708"/>
        <w:jc w:val="both"/>
      </w:pPr>
    </w:p>
    <w:p w14:paraId="737C682D" w14:textId="4C540358" w:rsidR="00E9429C" w:rsidRPr="0095648C" w:rsidRDefault="007A3B6C" w:rsidP="0095648C">
      <w:pPr>
        <w:jc w:val="both"/>
        <w:rPr>
          <w:b/>
          <w:i/>
        </w:rPr>
      </w:pPr>
      <w:r w:rsidRPr="000C433E">
        <w:rPr>
          <w:b/>
          <w:i/>
        </w:rPr>
        <w:t xml:space="preserve">Вариант </w:t>
      </w:r>
      <w:r w:rsidR="0030368A" w:rsidRPr="0095648C">
        <w:rPr>
          <w:b/>
          <w:i/>
        </w:rPr>
        <w:t>18</w:t>
      </w:r>
      <w:r w:rsidRPr="000C433E">
        <w:rPr>
          <w:b/>
          <w:i/>
        </w:rPr>
        <w:t xml:space="preserve"> </w:t>
      </w:r>
      <w:proofErr w:type="gramStart"/>
      <w:r w:rsidRPr="000C433E">
        <w:rPr>
          <w:b/>
          <w:i/>
        </w:rPr>
        <w:t xml:space="preserve">– </w:t>
      </w:r>
      <w:r w:rsidR="00063312" w:rsidRPr="000C433E">
        <w:rPr>
          <w:b/>
          <w:i/>
        </w:rPr>
        <w:t xml:space="preserve"> </w:t>
      </w:r>
      <w:r w:rsidR="00063312" w:rsidRPr="000C433E">
        <w:rPr>
          <w:b/>
          <w:i/>
          <w:lang w:val="en-US"/>
        </w:rPr>
        <w:t>TATN</w:t>
      </w:r>
      <w:proofErr w:type="gramEnd"/>
    </w:p>
    <w:p w14:paraId="06B58D5F" w14:textId="77777777" w:rsidR="00E9429C" w:rsidRPr="000C433E" w:rsidRDefault="00E9429C" w:rsidP="0095648C">
      <w:pPr>
        <w:jc w:val="both"/>
        <w:rPr>
          <w:b/>
          <w:i/>
        </w:rPr>
      </w:pPr>
    </w:p>
    <w:p w14:paraId="7DFD3546" w14:textId="77777777" w:rsidR="00E9429C" w:rsidRPr="0095648C" w:rsidRDefault="007A3B6C" w:rsidP="0095648C">
      <w:pPr>
        <w:jc w:val="both"/>
        <w:rPr>
          <w:b/>
          <w:iCs/>
        </w:rPr>
      </w:pPr>
      <w:r w:rsidRPr="0095648C">
        <w:rPr>
          <w:b/>
          <w:iCs/>
        </w:rPr>
        <w:t>Ход работы:</w:t>
      </w:r>
    </w:p>
    <w:p w14:paraId="75F1AE5F" w14:textId="77777777" w:rsidR="00E9429C" w:rsidRPr="000C433E" w:rsidRDefault="007A3B6C" w:rsidP="0095648C">
      <w:pPr>
        <w:ind w:firstLine="708"/>
        <w:jc w:val="both"/>
      </w:pPr>
      <w:r w:rsidRPr="000C433E">
        <w:t xml:space="preserve">Предварительно получим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C433E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C433E">
        <w:t xml:space="preserve"> относительных приращений цен акций объемами соответственно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=80</m:t>
        </m:r>
      </m:oMath>
      <w:r w:rsidRPr="000C433E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=84</m:t>
        </m:r>
      </m:oMath>
      <w:r w:rsidRPr="000C433E">
        <w:t xml:space="preserve"> (чтобы получить относительное приращение цены, из последующей цены вычитаем предыдущую и делим на предыдущую). Заметим, что для второй выборки, на основе имеющихся данных, за указанный период можно получить в принципе и 85 значений относительных приращений цен, но будем полагать, что у нас имеются как бы две несвязанные выборки цен.</w:t>
      </w:r>
    </w:p>
    <w:p w14:paraId="53BB5ABC" w14:textId="77777777" w:rsidR="00E9429C" w:rsidRPr="000C433E" w:rsidRDefault="007A3B6C" w:rsidP="0095648C">
      <w:pPr>
        <w:ind w:firstLine="708"/>
        <w:jc w:val="both"/>
      </w:pPr>
      <w:r w:rsidRPr="000C433E">
        <w:t>Для каждой выборки определяем наименьшее и наибольшее значения:</w:t>
      </w:r>
    </w:p>
    <w:p w14:paraId="5594D19C" w14:textId="17449F4D" w:rsidR="00E9429C" w:rsidRPr="000C433E" w:rsidRDefault="007A3B6C" w:rsidP="0095648C">
      <w:pPr>
        <w:jc w:val="both"/>
        <w:rPr>
          <w:color w:val="000000"/>
        </w:rPr>
      </w:pPr>
      <w:r w:rsidRPr="000C433E"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C433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 w:rsidR="00063312" w:rsidRPr="000C433E">
        <w:rPr>
          <w:color w:val="000000"/>
        </w:rPr>
        <w:t>-0,06645</w:t>
      </w:r>
      <w:r w:rsidRPr="000C433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 w:rsidR="00063312" w:rsidRPr="000C433E">
        <w:rPr>
          <w:color w:val="000000"/>
        </w:rPr>
        <w:t>0,071038</w:t>
      </w:r>
      <w:r w:rsidRPr="000C433E">
        <w:t>.</w:t>
      </w:r>
    </w:p>
    <w:p w14:paraId="493A3C6A" w14:textId="25214EBC" w:rsidR="00E9429C" w:rsidRPr="000C433E" w:rsidRDefault="007A3B6C" w:rsidP="0095648C">
      <w:pPr>
        <w:jc w:val="both"/>
        <w:rPr>
          <w:color w:val="000000"/>
        </w:rPr>
      </w:pPr>
      <w:r w:rsidRPr="000C433E"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C433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 w:rsidR="00063312" w:rsidRPr="000C433E">
        <w:rPr>
          <w:color w:val="000000"/>
        </w:rPr>
        <w:t>-0,06848</w:t>
      </w:r>
      <w:r w:rsidRPr="000C433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 w:rsidR="00063312" w:rsidRPr="000C433E">
        <w:rPr>
          <w:color w:val="000000"/>
        </w:rPr>
        <w:t>0,061357</w:t>
      </w:r>
      <w:r w:rsidRPr="000C433E">
        <w:t>.</w:t>
      </w:r>
    </w:p>
    <w:p w14:paraId="5A2C9A2E" w14:textId="06127DA1" w:rsidR="00E9429C" w:rsidRPr="000C433E" w:rsidRDefault="007A3B6C" w:rsidP="0095648C">
      <w:pPr>
        <w:ind w:firstLine="708"/>
        <w:jc w:val="both"/>
      </w:pPr>
      <w:r w:rsidRPr="000C433E">
        <w:t xml:space="preserve">Число интервалов группирования для статистических рядов определяем по формуле </w:t>
      </w:r>
      <w:proofErr w:type="spellStart"/>
      <w:r w:rsidRPr="000C433E">
        <w:t>Стерджесса</w:t>
      </w:r>
      <w:proofErr w:type="spellEnd"/>
      <w:r w:rsidRPr="000C433E">
        <w:t xml:space="preserve"> по выборке наименьшего объема: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=1+[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]=8</m:t>
        </m:r>
      </m:oMath>
      <w:r w:rsidRPr="000C433E">
        <w:t xml:space="preserve">. В качестве нижней границы первого интервала возьмем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63312" w:rsidRPr="000C433E">
        <w:t>-0,08</w:t>
      </w:r>
      <w:r w:rsidRPr="000C433E">
        <w:t xml:space="preserve">, а в качестве верхней границы последнего интервала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=0,08</m:t>
        </m:r>
      </m:oMath>
      <w:r w:rsidRPr="000C433E">
        <w:t xml:space="preserve">, тогда длина каждого интервала группирования (при равных длинах всех интервалов) будет равна: </w:t>
      </w:r>
      <m:oMath>
        <m:r>
          <w:rPr>
            <w:rFonts w:ascii="Cambria Math" w:hAnsi="Cambria Math"/>
          </w:rPr>
          <m:t>Δx</m:t>
        </m:r>
        <m:r>
          <m:rPr>
            <m:sty m:val="p"/>
          </m:rPr>
          <w:rPr>
            <w:rFonts w:ascii="Cambria Math" w:hAnsi="Cambria Math"/>
          </w:rPr>
          <m:t>=0,16/8=0,02</m:t>
        </m:r>
      </m:oMath>
      <w:r w:rsidRPr="000C433E">
        <w:t>. Подсчитывая частоты, получаем следующие два ряда:</w:t>
      </w:r>
    </w:p>
    <w:p w14:paraId="7C23B139" w14:textId="26BAE63A" w:rsidR="00E9429C" w:rsidRDefault="00E9429C" w:rsidP="0095648C">
      <w:pPr>
        <w:jc w:val="both"/>
      </w:pPr>
    </w:p>
    <w:p w14:paraId="6B1EF517" w14:textId="77777777" w:rsidR="000C433E" w:rsidRPr="000C433E" w:rsidRDefault="000C433E" w:rsidP="0095648C">
      <w:pPr>
        <w:jc w:val="both"/>
      </w:pPr>
    </w:p>
    <w:p w14:paraId="0052C1BC" w14:textId="77777777" w:rsidR="00E9429C" w:rsidRPr="000C433E" w:rsidRDefault="00E9429C" w:rsidP="0095648C">
      <w:pPr>
        <w:jc w:val="both"/>
      </w:pPr>
    </w:p>
    <w:tbl>
      <w:tblPr>
        <w:tblW w:w="10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136"/>
        <w:gridCol w:w="1378"/>
        <w:gridCol w:w="1012"/>
        <w:gridCol w:w="1016"/>
        <w:gridCol w:w="1261"/>
        <w:gridCol w:w="1264"/>
        <w:gridCol w:w="1265"/>
        <w:gridCol w:w="1007"/>
      </w:tblGrid>
      <w:tr w:rsidR="00E9429C" w:rsidRPr="000C433E" w14:paraId="73AF926A" w14:textId="77777777">
        <w:trPr>
          <w:trHeight w:val="255"/>
          <w:jc w:val="center"/>
        </w:trPr>
        <w:tc>
          <w:tcPr>
            <w:tcW w:w="1036" w:type="dxa"/>
            <w:shd w:val="clear" w:color="auto" w:fill="auto"/>
            <w:vAlign w:val="bottom"/>
            <w:hideMark/>
          </w:tcPr>
          <w:p w14:paraId="01DEFDAD" w14:textId="77777777" w:rsidR="00E9429C" w:rsidRPr="000C433E" w:rsidRDefault="007A3B6C" w:rsidP="0095648C">
            <w:pPr>
              <w:jc w:val="both"/>
              <w:rPr>
                <w:lang w:val="en-US"/>
              </w:rPr>
            </w:pPr>
            <w:r w:rsidRPr="000C433E">
              <w:t>Интервал</w:t>
            </w:r>
          </w:p>
        </w:tc>
        <w:tc>
          <w:tcPr>
            <w:tcW w:w="1135" w:type="dxa"/>
            <w:shd w:val="clear" w:color="auto" w:fill="auto"/>
            <w:vAlign w:val="bottom"/>
            <w:hideMark/>
          </w:tcPr>
          <w:p w14:paraId="62B6880D" w14:textId="3918CD39" w:rsidR="00E9429C" w:rsidRPr="000C433E" w:rsidRDefault="007A3B6C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-0,0</w:t>
            </w:r>
            <w:r w:rsidR="00063312" w:rsidRPr="000C433E">
              <w:rPr>
                <w:lang w:val="en-US"/>
              </w:rPr>
              <w:t>8</w:t>
            </w:r>
            <w:r w:rsidRPr="000C433E">
              <w:rPr>
                <w:lang w:val="en-US"/>
              </w:rPr>
              <w:t>;</w:t>
            </w:r>
            <w:r w:rsidRPr="000C433E">
              <w:t xml:space="preserve"> -</w:t>
            </w:r>
            <w:r w:rsidRPr="000C433E">
              <w:rPr>
                <w:lang w:val="en-US"/>
              </w:rPr>
              <w:t>0</w:t>
            </w:r>
            <w:r w:rsidRPr="000C433E">
              <w:t>,0</w:t>
            </w:r>
            <w:r w:rsidR="00063312" w:rsidRPr="000C433E">
              <w:rPr>
                <w:lang w:val="en-US"/>
              </w:rPr>
              <w:t>6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377" w:type="dxa"/>
            <w:shd w:val="clear" w:color="auto" w:fill="auto"/>
            <w:vAlign w:val="bottom"/>
            <w:hideMark/>
          </w:tcPr>
          <w:p w14:paraId="0F8E3767" w14:textId="34B4BA97" w:rsidR="00E9429C" w:rsidRPr="000C433E" w:rsidRDefault="007A3B6C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-0,0</w:t>
            </w:r>
            <w:r w:rsidR="00063312" w:rsidRPr="000C433E">
              <w:rPr>
                <w:lang w:val="en-US"/>
              </w:rPr>
              <w:t>6</w:t>
            </w:r>
            <w:r w:rsidRPr="000C433E">
              <w:rPr>
                <w:lang w:val="en-US"/>
              </w:rPr>
              <w:t>;</w:t>
            </w:r>
            <w:r w:rsidRPr="000C433E">
              <w:t xml:space="preserve"> -</w:t>
            </w:r>
            <w:r w:rsidRPr="000C433E">
              <w:rPr>
                <w:lang w:val="en-US"/>
              </w:rPr>
              <w:t>0,0</w:t>
            </w:r>
            <w:r w:rsidR="00063312" w:rsidRPr="000C433E">
              <w:rPr>
                <w:lang w:val="en-US"/>
              </w:rPr>
              <w:t>4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12" w:type="dxa"/>
            <w:shd w:val="clear" w:color="auto" w:fill="auto"/>
            <w:vAlign w:val="bottom"/>
            <w:hideMark/>
          </w:tcPr>
          <w:p w14:paraId="5DF0120E" w14:textId="677EC4E2" w:rsidR="00E9429C" w:rsidRPr="000C433E" w:rsidRDefault="007A3B6C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</w:t>
            </w:r>
            <w:r w:rsidRPr="000C433E">
              <w:rPr>
                <w:lang w:val="en-US"/>
              </w:rPr>
              <w:t>0</w:t>
            </w:r>
            <w:r w:rsidR="00063312" w:rsidRPr="000C433E">
              <w:rPr>
                <w:lang w:val="en-US"/>
              </w:rPr>
              <w:t>4</w:t>
            </w:r>
            <w:r w:rsidRPr="000C433E">
              <w:rPr>
                <w:lang w:val="en-US"/>
              </w:rPr>
              <w:t>;</w:t>
            </w:r>
            <w:r w:rsidRPr="000C433E">
              <w:t xml:space="preserve"> </w:t>
            </w:r>
            <w:r w:rsidR="00063312" w:rsidRPr="000C433E">
              <w:rPr>
                <w:lang w:val="en-US"/>
              </w:rPr>
              <w:t>-</w:t>
            </w:r>
            <w:r w:rsidRPr="000C433E">
              <w:t>0</w:t>
            </w:r>
            <w:r w:rsidR="00063312" w:rsidRPr="000C433E">
              <w:rPr>
                <w:lang w:val="en-US"/>
              </w:rPr>
              <w:t>.02</w:t>
            </w:r>
            <w:r w:rsidRPr="000C433E">
              <w:rPr>
                <w:lang w:val="en-US"/>
              </w:rPr>
              <w:t>)</w:t>
            </w:r>
            <w:r w:rsidRPr="000C433E">
              <w:t xml:space="preserve"> 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14:paraId="5DF1804C" w14:textId="5D1EC08B" w:rsidR="00E9429C" w:rsidRPr="000C433E" w:rsidRDefault="007A3B6C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="00063312" w:rsidRPr="000C433E">
              <w:rPr>
                <w:lang w:val="en-US"/>
              </w:rPr>
              <w:t>-</w:t>
            </w:r>
            <w:r w:rsidRPr="000C433E">
              <w:t>0</w:t>
            </w:r>
            <w:r w:rsidRPr="000C433E">
              <w:rPr>
                <w:lang w:val="en-US"/>
              </w:rPr>
              <w:t>;</w:t>
            </w:r>
            <w:r w:rsidRPr="000C433E">
              <w:t>0</w:t>
            </w:r>
            <w:r w:rsidR="00063312" w:rsidRPr="000C433E">
              <w:rPr>
                <w:lang w:val="en-US"/>
              </w:rPr>
              <w:t>2</w:t>
            </w:r>
            <w:r w:rsidRPr="000C433E">
              <w:t>,0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261" w:type="dxa"/>
            <w:shd w:val="clear" w:color="auto" w:fill="auto"/>
            <w:vAlign w:val="bottom"/>
            <w:hideMark/>
          </w:tcPr>
          <w:p w14:paraId="14D3BBF4" w14:textId="269038D7" w:rsidR="00E9429C" w:rsidRPr="000C433E" w:rsidRDefault="007A3B6C" w:rsidP="0095648C">
            <w:pPr>
              <w:jc w:val="both"/>
              <w:rPr>
                <w:lang w:val="en-US"/>
              </w:rPr>
            </w:pPr>
            <w:r w:rsidRPr="000C433E">
              <w:t>(</w:t>
            </w:r>
            <w:r w:rsidRPr="000C433E">
              <w:rPr>
                <w:lang w:val="en-US"/>
              </w:rPr>
              <w:t>0;0,0</w:t>
            </w:r>
            <w:r w:rsidR="00063312" w:rsidRPr="000C433E">
              <w:rPr>
                <w:lang w:val="en-US"/>
              </w:rPr>
              <w:t>2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264" w:type="dxa"/>
            <w:shd w:val="clear" w:color="auto" w:fill="auto"/>
            <w:vAlign w:val="bottom"/>
            <w:hideMark/>
          </w:tcPr>
          <w:p w14:paraId="19DE390A" w14:textId="312EF72B" w:rsidR="00E9429C" w:rsidRPr="000C433E" w:rsidRDefault="007A3B6C" w:rsidP="0095648C">
            <w:pPr>
              <w:jc w:val="both"/>
              <w:rPr>
                <w:lang w:val="en-US"/>
              </w:rPr>
            </w:pPr>
            <w:r w:rsidRPr="000C433E">
              <w:rPr>
                <w:lang w:val="en-US"/>
              </w:rPr>
              <w:t>(0,0</w:t>
            </w:r>
            <w:r w:rsidR="00063312" w:rsidRPr="000C433E">
              <w:rPr>
                <w:lang w:val="en-US"/>
              </w:rPr>
              <w:t>2</w:t>
            </w:r>
          </w:p>
          <w:p w14:paraId="7D3EED5A" w14:textId="1CA37DAF" w:rsidR="00E9429C" w:rsidRPr="000C433E" w:rsidRDefault="00063312" w:rsidP="0095648C">
            <w:pPr>
              <w:jc w:val="both"/>
              <w:rPr>
                <w:lang w:val="en-US"/>
              </w:rPr>
            </w:pPr>
            <w:r w:rsidRPr="000C433E">
              <w:t>;</w:t>
            </w:r>
            <w:r w:rsidR="007A3B6C" w:rsidRPr="000C433E">
              <w:rPr>
                <w:lang w:val="en-US"/>
              </w:rPr>
              <w:t>0,</w:t>
            </w:r>
            <w:r w:rsidR="007A3B6C" w:rsidRPr="000C433E">
              <w:t>0</w:t>
            </w:r>
            <w:r w:rsidRPr="000C433E">
              <w:t>4</w:t>
            </w:r>
            <w:r w:rsidR="007A3B6C" w:rsidRPr="000C433E">
              <w:rPr>
                <w:lang w:val="en-US"/>
              </w:rPr>
              <w:t>)</w:t>
            </w:r>
          </w:p>
        </w:tc>
        <w:tc>
          <w:tcPr>
            <w:tcW w:w="1265" w:type="dxa"/>
            <w:shd w:val="clear" w:color="auto" w:fill="auto"/>
            <w:vAlign w:val="bottom"/>
            <w:hideMark/>
          </w:tcPr>
          <w:p w14:paraId="722482CA" w14:textId="1962AA30" w:rsidR="00E9429C" w:rsidRPr="000C433E" w:rsidRDefault="007A3B6C" w:rsidP="0095648C">
            <w:pPr>
              <w:jc w:val="both"/>
              <w:rPr>
                <w:lang w:val="en-US"/>
              </w:rPr>
            </w:pPr>
            <w:r w:rsidRPr="000C433E">
              <w:rPr>
                <w:lang w:val="en-US"/>
              </w:rPr>
              <w:t>(0,</w:t>
            </w:r>
            <w:r w:rsidRPr="000C433E">
              <w:t>0</w:t>
            </w:r>
            <w:r w:rsidR="00063312" w:rsidRPr="000C433E">
              <w:t>4</w:t>
            </w:r>
            <w:r w:rsidRPr="000C433E">
              <w:rPr>
                <w:lang w:val="en-US"/>
              </w:rPr>
              <w:t>;0,</w:t>
            </w:r>
            <w:r w:rsidRPr="000C433E">
              <w:t>06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07" w:type="dxa"/>
          </w:tcPr>
          <w:p w14:paraId="7DBA6B34" w14:textId="04C79ED2" w:rsidR="00E9429C" w:rsidRPr="000C433E" w:rsidRDefault="007A3B6C" w:rsidP="0095648C">
            <w:pPr>
              <w:jc w:val="both"/>
            </w:pPr>
            <w:r w:rsidRPr="000C433E">
              <w:t>(0,06;0,08)</w:t>
            </w:r>
          </w:p>
        </w:tc>
      </w:tr>
      <w:tr w:rsidR="00E9429C" w:rsidRPr="000C433E" w14:paraId="0D3BAB04" w14:textId="77777777">
        <w:trPr>
          <w:trHeight w:val="255"/>
          <w:jc w:val="center"/>
        </w:trPr>
        <w:tc>
          <w:tcPr>
            <w:tcW w:w="1036" w:type="dxa"/>
            <w:shd w:val="clear" w:color="auto" w:fill="auto"/>
            <w:vAlign w:val="bottom"/>
            <w:hideMark/>
          </w:tcPr>
          <w:p w14:paraId="3190D555" w14:textId="77777777" w:rsidR="00E9429C" w:rsidRPr="000C433E" w:rsidRDefault="00D10953" w:rsidP="0095648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135" w:type="dxa"/>
            <w:shd w:val="clear" w:color="auto" w:fill="auto"/>
            <w:vAlign w:val="bottom"/>
            <w:hideMark/>
          </w:tcPr>
          <w:p w14:paraId="1C54FC37" w14:textId="09DF2A8D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vAlign w:val="bottom"/>
            <w:hideMark/>
          </w:tcPr>
          <w:p w14:paraId="035C97C3" w14:textId="571A808E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7</w:t>
            </w:r>
          </w:p>
        </w:tc>
        <w:tc>
          <w:tcPr>
            <w:tcW w:w="1012" w:type="dxa"/>
            <w:shd w:val="clear" w:color="auto" w:fill="auto"/>
            <w:vAlign w:val="bottom"/>
            <w:hideMark/>
          </w:tcPr>
          <w:p w14:paraId="1236B5C9" w14:textId="1CEB6C19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14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14:paraId="57E89E5C" w14:textId="5B9066F4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18</w:t>
            </w:r>
          </w:p>
        </w:tc>
        <w:tc>
          <w:tcPr>
            <w:tcW w:w="1261" w:type="dxa"/>
            <w:shd w:val="clear" w:color="auto" w:fill="auto"/>
            <w:vAlign w:val="bottom"/>
            <w:hideMark/>
          </w:tcPr>
          <w:p w14:paraId="12100E0F" w14:textId="77777777" w:rsidR="00E9429C" w:rsidRPr="000C433E" w:rsidRDefault="007A3B6C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11</w:t>
            </w:r>
          </w:p>
        </w:tc>
        <w:tc>
          <w:tcPr>
            <w:tcW w:w="1264" w:type="dxa"/>
            <w:shd w:val="clear" w:color="auto" w:fill="auto"/>
            <w:vAlign w:val="bottom"/>
            <w:hideMark/>
          </w:tcPr>
          <w:p w14:paraId="0CF818BD" w14:textId="4DCA8FDB" w:rsidR="00E9429C" w:rsidRPr="000C433E" w:rsidRDefault="007A3B6C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</w:t>
            </w:r>
            <w:r w:rsidR="00063312" w:rsidRPr="000C433E">
              <w:rPr>
                <w:color w:val="000000"/>
              </w:rPr>
              <w:t>7</w:t>
            </w:r>
          </w:p>
        </w:tc>
        <w:tc>
          <w:tcPr>
            <w:tcW w:w="1265" w:type="dxa"/>
            <w:shd w:val="clear" w:color="auto" w:fill="auto"/>
            <w:vAlign w:val="bottom"/>
            <w:hideMark/>
          </w:tcPr>
          <w:p w14:paraId="24D9C27C" w14:textId="15560256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8</w:t>
            </w:r>
          </w:p>
        </w:tc>
        <w:tc>
          <w:tcPr>
            <w:tcW w:w="1007" w:type="dxa"/>
          </w:tcPr>
          <w:p w14:paraId="5106CEE3" w14:textId="0203831E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4</w:t>
            </w:r>
          </w:p>
        </w:tc>
      </w:tr>
      <w:tr w:rsidR="00E9429C" w:rsidRPr="000C433E" w14:paraId="49B72C37" w14:textId="77777777">
        <w:trPr>
          <w:trHeight w:val="255"/>
          <w:jc w:val="center"/>
        </w:trPr>
        <w:tc>
          <w:tcPr>
            <w:tcW w:w="1036" w:type="dxa"/>
            <w:shd w:val="clear" w:color="auto" w:fill="auto"/>
            <w:vAlign w:val="bottom"/>
            <w:hideMark/>
          </w:tcPr>
          <w:p w14:paraId="451C760B" w14:textId="77777777" w:rsidR="00E9429C" w:rsidRPr="000C433E" w:rsidRDefault="00D10953" w:rsidP="0095648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135" w:type="dxa"/>
            <w:shd w:val="clear" w:color="auto" w:fill="auto"/>
            <w:vAlign w:val="bottom"/>
            <w:hideMark/>
          </w:tcPr>
          <w:p w14:paraId="6FE969AC" w14:textId="66FA3CA7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vAlign w:val="bottom"/>
            <w:hideMark/>
          </w:tcPr>
          <w:p w14:paraId="6887D7FA" w14:textId="74DC1DE7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3</w:t>
            </w:r>
          </w:p>
        </w:tc>
        <w:tc>
          <w:tcPr>
            <w:tcW w:w="1012" w:type="dxa"/>
            <w:shd w:val="clear" w:color="auto" w:fill="auto"/>
            <w:vAlign w:val="bottom"/>
            <w:hideMark/>
          </w:tcPr>
          <w:p w14:paraId="3E75929F" w14:textId="1DFBB4F0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6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14:paraId="3F86C0D1" w14:textId="5F896537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30</w:t>
            </w:r>
          </w:p>
        </w:tc>
        <w:tc>
          <w:tcPr>
            <w:tcW w:w="1261" w:type="dxa"/>
            <w:shd w:val="clear" w:color="auto" w:fill="auto"/>
            <w:vAlign w:val="bottom"/>
            <w:hideMark/>
          </w:tcPr>
          <w:p w14:paraId="2F9FF0B6" w14:textId="7285EFCC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 xml:space="preserve">        35</w:t>
            </w:r>
          </w:p>
        </w:tc>
        <w:tc>
          <w:tcPr>
            <w:tcW w:w="1264" w:type="dxa"/>
            <w:shd w:val="clear" w:color="auto" w:fill="auto"/>
            <w:vAlign w:val="bottom"/>
            <w:hideMark/>
          </w:tcPr>
          <w:p w14:paraId="25E24757" w14:textId="0D153855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7</w:t>
            </w:r>
          </w:p>
        </w:tc>
        <w:tc>
          <w:tcPr>
            <w:tcW w:w="1265" w:type="dxa"/>
            <w:shd w:val="clear" w:color="auto" w:fill="auto"/>
            <w:vAlign w:val="bottom"/>
            <w:hideMark/>
          </w:tcPr>
          <w:p w14:paraId="74D7AA8C" w14:textId="6FFC539E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</w:t>
            </w:r>
          </w:p>
        </w:tc>
        <w:tc>
          <w:tcPr>
            <w:tcW w:w="1007" w:type="dxa"/>
          </w:tcPr>
          <w:p w14:paraId="10B6A3D0" w14:textId="0C8BE092" w:rsidR="00E9429C" w:rsidRPr="000C433E" w:rsidRDefault="00063312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</w:t>
            </w:r>
          </w:p>
        </w:tc>
      </w:tr>
    </w:tbl>
    <w:p w14:paraId="13282907" w14:textId="77777777" w:rsidR="00E9429C" w:rsidRPr="000C433E" w:rsidRDefault="00E9429C" w:rsidP="0095648C">
      <w:pPr>
        <w:pStyle w:val="20"/>
        <w:spacing w:line="240" w:lineRule="auto"/>
        <w:rPr>
          <w:i w:val="0"/>
          <w:szCs w:val="24"/>
        </w:rPr>
      </w:pPr>
    </w:p>
    <w:tbl>
      <w:tblPr>
        <w:tblpPr w:leftFromText="180" w:rightFromText="180" w:vertAnchor="text" w:horzAnchor="margin" w:tblpXSpec="center" w:tblpY="2389"/>
        <w:tblW w:w="10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026"/>
        <w:gridCol w:w="1027"/>
        <w:gridCol w:w="1027"/>
        <w:gridCol w:w="1027"/>
        <w:gridCol w:w="1027"/>
        <w:gridCol w:w="1027"/>
        <w:gridCol w:w="1027"/>
        <w:gridCol w:w="1275"/>
        <w:gridCol w:w="1275"/>
      </w:tblGrid>
      <w:tr w:rsidR="000C433E" w:rsidRPr="000C433E" w14:paraId="0353B64D" w14:textId="77777777" w:rsidTr="000C433E">
        <w:trPr>
          <w:trHeight w:val="255"/>
        </w:trPr>
        <w:tc>
          <w:tcPr>
            <w:tcW w:w="1189" w:type="dxa"/>
            <w:shd w:val="clear" w:color="auto" w:fill="auto"/>
            <w:vAlign w:val="bottom"/>
            <w:hideMark/>
          </w:tcPr>
          <w:p w14:paraId="4CC39719" w14:textId="77777777" w:rsidR="000C433E" w:rsidRPr="000C433E" w:rsidRDefault="000C433E" w:rsidP="0095648C">
            <w:pPr>
              <w:jc w:val="both"/>
              <w:rPr>
                <w:lang w:val="en-US"/>
              </w:rPr>
            </w:pPr>
            <w:r w:rsidRPr="000C433E">
              <w:lastRenderedPageBreak/>
              <w:t>Интервал</w:t>
            </w:r>
          </w:p>
        </w:tc>
        <w:tc>
          <w:tcPr>
            <w:tcW w:w="1026" w:type="dxa"/>
            <w:shd w:val="clear" w:color="auto" w:fill="auto"/>
            <w:vAlign w:val="bottom"/>
            <w:hideMark/>
          </w:tcPr>
          <w:p w14:paraId="06886B4F" w14:textId="77777777" w:rsidR="000C433E" w:rsidRPr="000C433E" w:rsidRDefault="000C433E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-0,08</w:t>
            </w:r>
            <w:r w:rsidRPr="000C433E">
              <w:rPr>
                <w:lang w:val="en-US"/>
              </w:rPr>
              <w:t>;</w:t>
            </w:r>
            <w:r w:rsidRPr="000C433E">
              <w:t xml:space="preserve"> -</w:t>
            </w:r>
            <w:r w:rsidRPr="000C433E">
              <w:rPr>
                <w:lang w:val="en-US"/>
              </w:rPr>
              <w:t>0</w:t>
            </w:r>
            <w:r w:rsidRPr="000C433E">
              <w:t>,03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3A896548" w14:textId="77777777" w:rsidR="000C433E" w:rsidRPr="000C433E" w:rsidRDefault="000C433E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-0,03</w:t>
            </w:r>
            <w:r w:rsidRPr="000C433E">
              <w:rPr>
                <w:lang w:val="en-US"/>
              </w:rPr>
              <w:t>;</w:t>
            </w:r>
            <w:r w:rsidRPr="000C433E">
              <w:t xml:space="preserve"> -</w:t>
            </w:r>
            <w:r w:rsidRPr="000C433E">
              <w:rPr>
                <w:lang w:val="en-US"/>
              </w:rPr>
              <w:t>0,0</w:t>
            </w:r>
            <w:r w:rsidRPr="000C433E">
              <w:t>15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43FF3BBF" w14:textId="77777777" w:rsidR="000C433E" w:rsidRPr="000C433E" w:rsidRDefault="000C433E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</w:t>
            </w:r>
            <w:r w:rsidRPr="000C433E">
              <w:rPr>
                <w:lang w:val="en-US"/>
              </w:rPr>
              <w:t>0</w:t>
            </w:r>
            <w:r w:rsidRPr="000C433E">
              <w:t>15</w:t>
            </w:r>
            <w:r w:rsidRPr="000C433E">
              <w:rPr>
                <w:lang w:val="en-US"/>
              </w:rPr>
              <w:t>;</w:t>
            </w:r>
            <w:r w:rsidRPr="000C433E">
              <w:t xml:space="preserve"> -0,005</w:t>
            </w:r>
            <w:r w:rsidRPr="000C433E">
              <w:rPr>
                <w:lang w:val="en-US"/>
              </w:rPr>
              <w:t>)</w:t>
            </w:r>
            <w:r w:rsidRPr="000C433E">
              <w:t xml:space="preserve"> 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31A3D7E4" w14:textId="77777777" w:rsidR="000C433E" w:rsidRPr="000C433E" w:rsidRDefault="000C433E" w:rsidP="0095648C">
            <w:pPr>
              <w:jc w:val="both"/>
            </w:pPr>
            <w:r w:rsidRPr="000C433E">
              <w:rPr>
                <w:lang w:val="en-US"/>
              </w:rPr>
              <w:t>(</w:t>
            </w:r>
            <w:r w:rsidRPr="000C433E">
              <w:t>-0,005</w:t>
            </w:r>
            <w:r w:rsidRPr="000C433E">
              <w:rPr>
                <w:lang w:val="en-US"/>
              </w:rPr>
              <w:t>;</w:t>
            </w:r>
            <w:r w:rsidRPr="000C433E">
              <w:t>0,005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759E26EF" w14:textId="77777777" w:rsidR="000C433E" w:rsidRPr="000C433E" w:rsidRDefault="000C433E" w:rsidP="0095648C">
            <w:pPr>
              <w:jc w:val="both"/>
              <w:rPr>
                <w:lang w:val="en-US"/>
              </w:rPr>
            </w:pPr>
            <w:r w:rsidRPr="000C433E">
              <w:t>(</w:t>
            </w:r>
            <w:r w:rsidRPr="000C433E">
              <w:rPr>
                <w:lang w:val="en-US"/>
              </w:rPr>
              <w:t>0</w:t>
            </w:r>
            <w:r w:rsidRPr="000C433E">
              <w:t>,005</w:t>
            </w:r>
            <w:r w:rsidRPr="000C433E">
              <w:rPr>
                <w:lang w:val="en-US"/>
              </w:rPr>
              <w:t>;0,0</w:t>
            </w:r>
            <w:r w:rsidRPr="000C433E">
              <w:t>14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4F48883F" w14:textId="77777777" w:rsidR="000C433E" w:rsidRPr="000C433E" w:rsidRDefault="000C433E" w:rsidP="0095648C">
            <w:pPr>
              <w:jc w:val="both"/>
            </w:pPr>
            <w:r w:rsidRPr="000C433E">
              <w:rPr>
                <w:lang w:val="en-US"/>
              </w:rPr>
              <w:t>(0,0</w:t>
            </w:r>
            <w:r w:rsidRPr="000C433E">
              <w:t>14</w:t>
            </w:r>
          </w:p>
          <w:p w14:paraId="2C9FC89B" w14:textId="77777777" w:rsidR="000C433E" w:rsidRPr="000C433E" w:rsidRDefault="000C433E" w:rsidP="0095648C">
            <w:pPr>
              <w:jc w:val="both"/>
              <w:rPr>
                <w:lang w:val="en-US"/>
              </w:rPr>
            </w:pPr>
            <w:r w:rsidRPr="000C433E">
              <w:rPr>
                <w:lang w:val="en-US"/>
              </w:rPr>
              <w:t>;0,</w:t>
            </w:r>
            <w:r w:rsidRPr="000C433E">
              <w:t>028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08DFB57C" w14:textId="77777777" w:rsidR="000C433E" w:rsidRPr="000C433E" w:rsidRDefault="000C433E" w:rsidP="0095648C">
            <w:pPr>
              <w:jc w:val="both"/>
              <w:rPr>
                <w:lang w:val="en-US"/>
              </w:rPr>
            </w:pPr>
            <w:r w:rsidRPr="000C433E">
              <w:rPr>
                <w:lang w:val="en-US"/>
              </w:rPr>
              <w:t>(0,</w:t>
            </w:r>
            <w:r w:rsidRPr="000C433E">
              <w:t>028</w:t>
            </w:r>
            <w:r w:rsidRPr="000C433E">
              <w:rPr>
                <w:lang w:val="en-US"/>
              </w:rPr>
              <w:t>;0,</w:t>
            </w:r>
            <w:r w:rsidRPr="000C433E">
              <w:t>035</w:t>
            </w:r>
            <w:r w:rsidRPr="000C433E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14:paraId="0941FAFD" w14:textId="77777777" w:rsidR="000C433E" w:rsidRPr="000C433E" w:rsidRDefault="000C433E" w:rsidP="0095648C">
            <w:pPr>
              <w:jc w:val="both"/>
            </w:pPr>
            <w:r w:rsidRPr="000C433E">
              <w:t>(0,035;0,08)</w:t>
            </w:r>
          </w:p>
        </w:tc>
        <w:tc>
          <w:tcPr>
            <w:tcW w:w="1275" w:type="dxa"/>
          </w:tcPr>
          <w:p w14:paraId="43468471" w14:textId="77777777" w:rsidR="000C433E" w:rsidRPr="000C433E" w:rsidRDefault="000C433E" w:rsidP="0095648C">
            <w:pPr>
              <w:jc w:val="both"/>
              <w:rPr>
                <w:vertAlign w:val="subscript"/>
                <w:lang w:val="en-US"/>
              </w:rPr>
            </w:pPr>
            <w:proofErr w:type="spellStart"/>
            <w:r w:rsidRPr="000C433E">
              <w:rPr>
                <w:lang w:val="en-US"/>
              </w:rPr>
              <w:t>n</w:t>
            </w:r>
            <w:r w:rsidRPr="000C433E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0C433E" w:rsidRPr="000C433E" w14:paraId="08CFF4D3" w14:textId="77777777" w:rsidTr="000C433E">
        <w:trPr>
          <w:trHeight w:val="255"/>
        </w:trPr>
        <w:tc>
          <w:tcPr>
            <w:tcW w:w="1189" w:type="dxa"/>
            <w:shd w:val="clear" w:color="auto" w:fill="auto"/>
            <w:vAlign w:val="bottom"/>
            <w:hideMark/>
          </w:tcPr>
          <w:p w14:paraId="3D8553E2" w14:textId="77777777" w:rsidR="000C433E" w:rsidRPr="000C433E" w:rsidRDefault="00D10953" w:rsidP="0095648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026" w:type="dxa"/>
            <w:shd w:val="clear" w:color="auto" w:fill="auto"/>
            <w:vAlign w:val="bottom"/>
            <w:hideMark/>
          </w:tcPr>
          <w:p w14:paraId="3EEFC984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15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0129137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11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3359B0AA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10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2DB40C1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7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004FDB2C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</w:rPr>
              <w:t>7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297DD29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</w:rPr>
              <w:t>6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670C2DE2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9</w:t>
            </w:r>
          </w:p>
        </w:tc>
        <w:tc>
          <w:tcPr>
            <w:tcW w:w="1275" w:type="dxa"/>
          </w:tcPr>
          <w:p w14:paraId="594923F4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15</w:t>
            </w:r>
          </w:p>
        </w:tc>
        <w:tc>
          <w:tcPr>
            <w:tcW w:w="1275" w:type="dxa"/>
          </w:tcPr>
          <w:p w14:paraId="65F5266C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  <w:lang w:val="en-US"/>
              </w:rPr>
              <w:t>80</w:t>
            </w:r>
          </w:p>
        </w:tc>
      </w:tr>
      <w:tr w:rsidR="000C433E" w:rsidRPr="000C433E" w14:paraId="24E19754" w14:textId="77777777" w:rsidTr="000C433E">
        <w:trPr>
          <w:trHeight w:val="255"/>
        </w:trPr>
        <w:tc>
          <w:tcPr>
            <w:tcW w:w="1189" w:type="dxa"/>
            <w:shd w:val="clear" w:color="auto" w:fill="auto"/>
            <w:vAlign w:val="bottom"/>
            <w:hideMark/>
          </w:tcPr>
          <w:p w14:paraId="2CEFF23C" w14:textId="77777777" w:rsidR="000C433E" w:rsidRPr="000C433E" w:rsidRDefault="00D10953" w:rsidP="0095648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026" w:type="dxa"/>
            <w:shd w:val="clear" w:color="auto" w:fill="auto"/>
            <w:vAlign w:val="bottom"/>
            <w:hideMark/>
          </w:tcPr>
          <w:p w14:paraId="0C2CA863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6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2844A779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</w:rPr>
              <w:t>10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6CD987B3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  <w:lang w:val="en-US"/>
              </w:rPr>
              <w:t>1</w:t>
            </w:r>
            <w:r w:rsidRPr="000C433E">
              <w:rPr>
                <w:color w:val="000000"/>
              </w:rPr>
              <w:t>5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7037C773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18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26EB767F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</w:rPr>
              <w:t>16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322DB962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</w:rPr>
              <w:t>3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F2DB6E0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3</w:t>
            </w:r>
          </w:p>
        </w:tc>
        <w:tc>
          <w:tcPr>
            <w:tcW w:w="1275" w:type="dxa"/>
          </w:tcPr>
          <w:p w14:paraId="37CD73C9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3</w:t>
            </w:r>
          </w:p>
        </w:tc>
        <w:tc>
          <w:tcPr>
            <w:tcW w:w="1275" w:type="dxa"/>
          </w:tcPr>
          <w:p w14:paraId="5FDFB9A3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  <w:lang w:val="en-US"/>
              </w:rPr>
              <w:t>84</w:t>
            </w:r>
          </w:p>
        </w:tc>
      </w:tr>
      <w:tr w:rsidR="000C433E" w:rsidRPr="000C433E" w14:paraId="71A970A8" w14:textId="77777777" w:rsidTr="000C433E">
        <w:trPr>
          <w:trHeight w:val="255"/>
        </w:trPr>
        <w:tc>
          <w:tcPr>
            <w:tcW w:w="1189" w:type="dxa"/>
            <w:shd w:val="clear" w:color="auto" w:fill="auto"/>
            <w:vAlign w:val="bottom"/>
            <w:hideMark/>
          </w:tcPr>
          <w:p w14:paraId="7D7747AE" w14:textId="77777777" w:rsidR="000C433E" w:rsidRPr="000C433E" w:rsidRDefault="00D10953" w:rsidP="0095648C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26" w:type="dxa"/>
            <w:shd w:val="clear" w:color="auto" w:fill="auto"/>
            <w:vAlign w:val="bottom"/>
            <w:hideMark/>
          </w:tcPr>
          <w:p w14:paraId="6405DA11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  <w:lang w:val="en-US"/>
              </w:rPr>
              <w:t>2</w:t>
            </w:r>
            <w:r w:rsidRPr="000C433E">
              <w:rPr>
                <w:color w:val="000000"/>
              </w:rPr>
              <w:t>1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4F8BA1C1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21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3AC95250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25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5867A1CD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25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AB70E0A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23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7BA263EE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19</w:t>
            </w:r>
          </w:p>
        </w:tc>
        <w:tc>
          <w:tcPr>
            <w:tcW w:w="1027" w:type="dxa"/>
            <w:shd w:val="clear" w:color="auto" w:fill="auto"/>
            <w:vAlign w:val="bottom"/>
            <w:hideMark/>
          </w:tcPr>
          <w:p w14:paraId="1FE09A8C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12</w:t>
            </w:r>
          </w:p>
        </w:tc>
        <w:tc>
          <w:tcPr>
            <w:tcW w:w="1275" w:type="dxa"/>
            <w:vAlign w:val="bottom"/>
          </w:tcPr>
          <w:p w14:paraId="0695B4B8" w14:textId="77777777" w:rsidR="000C433E" w:rsidRPr="000C433E" w:rsidRDefault="000C433E" w:rsidP="0095648C">
            <w:pPr>
              <w:jc w:val="both"/>
              <w:rPr>
                <w:color w:val="000000"/>
              </w:rPr>
            </w:pPr>
            <w:r w:rsidRPr="000C433E">
              <w:rPr>
                <w:color w:val="000000"/>
              </w:rPr>
              <w:t>18</w:t>
            </w:r>
          </w:p>
        </w:tc>
        <w:tc>
          <w:tcPr>
            <w:tcW w:w="1275" w:type="dxa"/>
          </w:tcPr>
          <w:p w14:paraId="3842B1BD" w14:textId="77777777" w:rsidR="000C433E" w:rsidRPr="000C433E" w:rsidRDefault="000C433E" w:rsidP="0095648C">
            <w:pPr>
              <w:jc w:val="both"/>
              <w:rPr>
                <w:color w:val="000000"/>
                <w:lang w:val="en-US"/>
              </w:rPr>
            </w:pPr>
            <w:r w:rsidRPr="000C433E">
              <w:rPr>
                <w:color w:val="000000"/>
                <w:lang w:val="en-US"/>
              </w:rPr>
              <w:t>164</w:t>
            </w:r>
          </w:p>
        </w:tc>
      </w:tr>
    </w:tbl>
    <w:p w14:paraId="06BAAC5E" w14:textId="77777777" w:rsidR="00E9429C" w:rsidRPr="000C433E" w:rsidRDefault="007A3B6C" w:rsidP="0095648C">
      <w:pPr>
        <w:ind w:firstLine="708"/>
        <w:jc w:val="both"/>
      </w:pPr>
      <w:r w:rsidRPr="000C433E">
        <w:t xml:space="preserve">Видим, что частоты распределены по интервалам крайне неравномерно (для корректного применения критерия хи-квадрат необходимо, чтобы </w:t>
      </w:r>
      <w:proofErr w:type="gramStart"/>
      <w:r w:rsidRPr="000C433E">
        <w:t>количество значений</w:t>
      </w:r>
      <w:proofErr w:type="gramEnd"/>
      <w:r w:rsidRPr="000C433E">
        <w:t xml:space="preserve"> попавших в каждую ячейку было не меньше 5), поэтому делаем перегруппировку данных, добиваясь более равномерного распределения частот по интервалам. В результате получаем следующие ряды:</w:t>
      </w:r>
    </w:p>
    <w:p w14:paraId="427335D1" w14:textId="77777777" w:rsidR="00E9429C" w:rsidRPr="000C433E" w:rsidRDefault="00E9429C" w:rsidP="0095648C">
      <w:pPr>
        <w:pStyle w:val="20"/>
        <w:spacing w:line="240" w:lineRule="auto"/>
        <w:rPr>
          <w:i w:val="0"/>
          <w:szCs w:val="24"/>
        </w:rPr>
      </w:pPr>
    </w:p>
    <w:p w14:paraId="6D0BC289" w14:textId="77777777" w:rsidR="00E9429C" w:rsidRPr="000C433E" w:rsidRDefault="00E9429C" w:rsidP="0095648C">
      <w:pPr>
        <w:jc w:val="both"/>
      </w:pPr>
    </w:p>
    <w:p w14:paraId="7732EDD0" w14:textId="068C6564" w:rsidR="00E9429C" w:rsidRDefault="007A3B6C" w:rsidP="0095648C">
      <w:pPr>
        <w:jc w:val="both"/>
      </w:pPr>
      <w:r w:rsidRPr="000C433E">
        <w:tab/>
        <w:t>Для проверки гипотезы однородности распределений двух выборок вычисляем значение статистики критерия Хи-квадрат:</w:t>
      </w:r>
    </w:p>
    <w:p w14:paraId="531A740F" w14:textId="77777777" w:rsidR="0095648C" w:rsidRPr="000C433E" w:rsidRDefault="0095648C" w:rsidP="0095648C">
      <w:pPr>
        <w:jc w:val="both"/>
      </w:pPr>
    </w:p>
    <w:p w14:paraId="77DA4210" w14:textId="0364F285" w:rsidR="00E9429C" w:rsidRDefault="00D10953" w:rsidP="0095648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набл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≈ </m:t>
        </m:r>
      </m:oMath>
      <w:r w:rsidR="000C433E" w:rsidRPr="000C433E">
        <w:rPr>
          <w:color w:val="000000"/>
        </w:rPr>
        <w:t>26,76381</w:t>
      </w:r>
      <w:r w:rsidR="007A3B6C" w:rsidRPr="000C433E">
        <w:t>.</w:t>
      </w:r>
    </w:p>
    <w:p w14:paraId="52B893BC" w14:textId="77777777" w:rsidR="0095648C" w:rsidRPr="0095648C" w:rsidRDefault="0095648C" w:rsidP="0095648C">
      <w:pPr>
        <w:jc w:val="both"/>
        <w:rPr>
          <w:color w:val="000000"/>
        </w:rPr>
      </w:pPr>
    </w:p>
    <w:p w14:paraId="35513AA6" w14:textId="3A6E5BBF" w:rsidR="00E9429C" w:rsidRPr="000C433E" w:rsidRDefault="007A3B6C" w:rsidP="0095648C">
      <w:pPr>
        <w:ind w:firstLine="708"/>
        <w:jc w:val="both"/>
      </w:pPr>
      <w:r w:rsidRPr="000C433E">
        <w:t xml:space="preserve">Зададим уровень значимости </w:t>
      </w:r>
      <m:oMath>
        <m:r>
          <m:rPr>
            <m:sty m:val="p"/>
          </m:rPr>
          <w:rPr>
            <w:rFonts w:ascii="Cambria Math" w:hAnsi="Cambria Math"/>
          </w:rPr>
          <m:t>α=0,05</m:t>
        </m:r>
      </m:oMath>
      <w:r w:rsidRPr="000C433E">
        <w:t xml:space="preserve">. Для заданного уровня значимости и числа степеней свободы </w:t>
      </w:r>
      <m:oMath>
        <m:r>
          <m:rPr>
            <m:sty m:val="p"/>
          </m:rPr>
          <w:rPr>
            <w:rFonts w:ascii="Cambria Math" w:hAnsi="Cambria Math"/>
          </w:rPr>
          <m:t>ν=(q-1)(m-1)=(2-1)(8-1)=7</m:t>
        </m:r>
      </m:oMath>
      <w:r w:rsidRPr="000C433E">
        <w:t xml:space="preserve">  найдем критическое значение статистики, как критическую точку распределения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0C433E">
        <w:t xml:space="preserve"> уровня </w:t>
      </w:r>
      <m:oMath>
        <m:r>
          <m:rPr>
            <m:sty m:val="p"/>
          </m:rPr>
          <w:rPr>
            <w:rFonts w:ascii="Cambria Math" w:hAnsi="Cambria Math"/>
          </w:rPr>
          <m:t>α=0,05</m:t>
        </m:r>
      </m:oMath>
      <w:r w:rsidRPr="000C433E">
        <w:t xml:space="preserve"> (или что тоже самое – квантиль уровня 0,95):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C433E" w:rsidRPr="000C433E">
        <w:t>14,06714</w:t>
      </w:r>
      <w:r w:rsidRPr="000C433E">
        <w:t>.</w:t>
      </w:r>
      <w:r w:rsidR="000C433E">
        <w:t xml:space="preserve"> </w:t>
      </w:r>
      <w:r w:rsidRPr="000C433E">
        <w:t xml:space="preserve">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</m:sSub>
      </m:oMath>
      <w:r w:rsidRPr="000C433E">
        <w:t>, то гипотеза о однородности двух выборок (равенстве распределений двух совокупностей)</w:t>
      </w:r>
      <w:r w:rsidR="000C433E" w:rsidRPr="000C433E">
        <w:t xml:space="preserve"> не</w:t>
      </w:r>
      <w:r w:rsidRPr="000C433E">
        <w:t xml:space="preserve"> принимается.</w:t>
      </w:r>
    </w:p>
    <w:p w14:paraId="0843B5E5" w14:textId="7EE38FAA" w:rsidR="00E9429C" w:rsidRPr="000C433E" w:rsidRDefault="007A3B6C" w:rsidP="0095648C">
      <w:pPr>
        <w:ind w:firstLine="708"/>
        <w:jc w:val="both"/>
      </w:pPr>
      <w:r w:rsidRPr="000C433E">
        <w:t xml:space="preserve">Найдем также достигнутый уровень значимости, то есть такое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</m:oMath>
      <w:r w:rsidRPr="000C433E">
        <w:t xml:space="preserve">, для которого при истинности нашей гипотезы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0C433E">
        <w:t xml:space="preserve"> Для 7 степеней свободы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C433E" w:rsidRPr="000C433E">
        <w:t>26,76381</w:t>
      </w:r>
      <w:r w:rsidRPr="000C433E">
        <w:t xml:space="preserve"> получим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≈ </m:t>
        </m:r>
      </m:oMath>
      <w:r w:rsidR="000C433E" w:rsidRPr="000C433E">
        <w:t>0,000368</w:t>
      </w:r>
      <w:r w:rsidRPr="000C433E">
        <w:t xml:space="preserve">. Поскольку данная вероятность </w:t>
      </w:r>
      <w:r w:rsidR="000C433E" w:rsidRPr="000C433E">
        <w:t>меньше</w:t>
      </w:r>
      <w:r>
        <w:t xml:space="preserve"> 0,05</w:t>
      </w:r>
      <w:r w:rsidRPr="000C433E">
        <w:t>, гипотеза о однородности выборочных совокупностей</w:t>
      </w:r>
      <w:r w:rsidR="000C433E" w:rsidRPr="000C433E">
        <w:t xml:space="preserve"> не</w:t>
      </w:r>
      <w:r w:rsidRPr="000C433E">
        <w:t xml:space="preserve"> принимается.</w:t>
      </w:r>
    </w:p>
    <w:p w14:paraId="28A5BF86" w14:textId="09EDA494" w:rsidR="00E9429C" w:rsidRPr="000C433E" w:rsidRDefault="007A3B6C" w:rsidP="0095648C">
      <w:pPr>
        <w:ind w:firstLine="708"/>
        <w:jc w:val="both"/>
      </w:pPr>
      <w:r w:rsidRPr="000C433E">
        <w:t xml:space="preserve">Для проверки гипотезы однородности по критерию Колмогорова, строим для одной из выборок (например, для второй) вариационный ряд </w:t>
      </w:r>
      <w:r w:rsidR="00D10953">
        <w:pict w14:anchorId="057202C2">
          <v:shape id="_x0000_s1045" style="position:absolute;left:0;text-align:left;margin-left:0;margin-top:0;width:50pt;height:50pt;z-index:251653120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0C433E">
        <w:object w:dxaOrig="1260" w:dyaOrig="420" w14:anchorId="01E07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36" o:spid="_x0000_i1025" type="#_x0000_t75" style="width:63pt;height:21pt;visibility:visible;mso-wrap-style:none;mso-position-vertical-relative:line" o:ole="">
            <v:imagedata r:id="rId4" o:title=""/>
          </v:shape>
          <o:OLEObject Type="Embed" ProgID="Equation.3" ShapeID="1036" DrawAspect="Content" ObjectID="_1711208063" r:id="rId5"/>
        </w:object>
      </w:r>
      <w:r w:rsidRPr="000C433E">
        <w:t xml:space="preserve">, упорядочивая выборочные значения по возрастанию. Далее для каждого значения </w:t>
      </w:r>
      <w:r w:rsidR="00D10953">
        <w:pict w14:anchorId="1C6B8762">
          <v:shape id="_x0000_s1043" style="position:absolute;left:0;text-align:left;margin-left:0;margin-top:0;width:50pt;height:50pt;z-index:251654144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0C433E">
        <w:object w:dxaOrig="1260" w:dyaOrig="420" w14:anchorId="64358934">
          <v:shape id="1037" o:spid="_x0000_i1026" type="#_x0000_t75" style="width:63pt;height:21pt;visibility:visible;mso-wrap-style:none;mso-position-vertical-relative:line" o:ole="">
            <v:imagedata r:id="rId4" o:title=""/>
          </v:shape>
          <o:OLEObject Type="Embed" ProgID="Equation.3" ShapeID="1037" DrawAspect="Content" ObjectID="_1711208064" r:id="rId6"/>
        </w:object>
      </w:r>
      <w:r w:rsidRPr="000C433E">
        <w:t xml:space="preserve"> вычисляем величину  </w:t>
      </w:r>
      <w:r w:rsidR="00D10953">
        <w:pict w14:anchorId="74DD6F1F">
          <v:shape id="_x0000_s1041" style="position:absolute;left:0;text-align:left;margin-left:0;margin-top:0;width:50pt;height:50pt;z-index:251655168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="0030368A" w:rsidRPr="0030368A">
        <w:rPr>
          <w:position w:val="-34"/>
        </w:rPr>
        <w:object w:dxaOrig="3600" w:dyaOrig="800" w14:anchorId="6DFCF34B">
          <v:shape id="_x0000_i1027" type="#_x0000_t75" style="width:180pt;height:40.2pt" o:ole="">
            <v:imagedata r:id="rId7" o:title=""/>
          </v:shape>
          <o:OLEObject Type="Embed" ProgID="Equation.3" ShapeID="_x0000_i1027" DrawAspect="Content" ObjectID="_1711208065" r:id="rId8"/>
        </w:object>
      </w:r>
      <w:r w:rsidRPr="000C433E">
        <w:t xml:space="preserve">, где </w:t>
      </w:r>
      <w:r w:rsidR="00D10953">
        <w:pict w14:anchorId="1C0E67FA">
          <v:shape id="_x0000_s1039" style="position:absolute;left:0;text-align:left;margin-left:0;margin-top:0;width:50pt;height:50pt;z-index:251656192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0C433E">
        <w:object w:dxaOrig="840" w:dyaOrig="400" w14:anchorId="6FB7B2AA">
          <v:shape id="1039" o:spid="_x0000_i1028" type="#_x0000_t75" style="width:42pt;height:19.8pt;visibility:visible;mso-wrap-style:none;mso-position-vertical-relative:line" o:ole="">
            <v:imagedata r:id="rId9" o:title=""/>
          </v:shape>
          <o:OLEObject Type="Embed" ProgID="Equation.3" ShapeID="1039" DrawAspect="Content" ObjectID="_1711208066" r:id="rId10"/>
        </w:object>
      </w:r>
      <w:r w:rsidRPr="000C433E">
        <w:t xml:space="preserve"> - значение эмпирической функции распределения для первой выборки в точке </w:t>
      </w:r>
      <w:r w:rsidR="00D10953">
        <w:pict w14:anchorId="754E2395">
          <v:shape id="_x0000_s1037" style="position:absolute;left:0;text-align:left;margin-left:0;margin-top:0;width:50pt;height:50pt;z-index:251657216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0C433E">
        <w:object w:dxaOrig="380" w:dyaOrig="380" w14:anchorId="51B806D6">
          <v:shape id="1040" o:spid="_x0000_i1029" type="#_x0000_t75" style="width:19.2pt;height:19.2pt;visibility:visible;mso-wrap-style:none;mso-position-vertical-relative:line" o:ole="">
            <v:imagedata r:id="rId11" o:title=""/>
          </v:shape>
          <o:OLEObject Type="Embed" ProgID="Equation.3" ShapeID="1040" DrawAspect="Content" ObjectID="_1711208067" r:id="rId12"/>
        </w:object>
      </w:r>
      <w:r w:rsidRPr="000C433E">
        <w:t>. Из полученных значений отбираем наибольшее и получаем значение статистики:</w:t>
      </w:r>
    </w:p>
    <w:p w14:paraId="0EA456A2" w14:textId="7063691C" w:rsidR="000C433E" w:rsidRPr="000C433E" w:rsidRDefault="00D10953" w:rsidP="0095648C">
      <w:pPr>
        <w:jc w:val="both"/>
        <w:rPr>
          <w:color w:val="000000"/>
        </w:rPr>
      </w:pPr>
      <w:r>
        <w:rPr>
          <w:i/>
          <w:position w:val="-34"/>
        </w:rPr>
        <w:pict w14:anchorId="1BEB1563">
          <v:shape id="_x0000_s1035" style="position:absolute;left:0;text-align:left;margin-left:0;margin-top:0;width:50pt;height:50pt;z-index:251658240;visibility:hidden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≈ </m:t>
        </m:r>
      </m:oMath>
      <w:r w:rsidR="000C433E" w:rsidRPr="000C433E">
        <w:rPr>
          <w:color w:val="000000"/>
        </w:rPr>
        <w:t>1,714612</w:t>
      </w:r>
    </w:p>
    <w:p w14:paraId="79B14D65" w14:textId="72F3F642" w:rsidR="00E9429C" w:rsidRPr="000C433E" w:rsidRDefault="00E9429C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21F3141A" w14:textId="2A286361" w:rsidR="00E9429C" w:rsidRPr="007A3B6C" w:rsidRDefault="007A3B6C" w:rsidP="0095648C">
      <w:pPr>
        <w:ind w:firstLine="708"/>
        <w:jc w:val="both"/>
      </w:pPr>
      <w:r w:rsidRPr="000C433E">
        <w:t xml:space="preserve">Для уровня значимости </w:t>
      </w:r>
      <w:r w:rsidR="00D10953">
        <w:pict w14:anchorId="331279FC">
          <v:shape id="_x0000_s1033" style="position:absolute;left:0;text-align:left;margin-left:0;margin-top:0;width:50pt;height:50pt;z-index:251659264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7A3B6C">
        <w:object w:dxaOrig="880" w:dyaOrig="320" w14:anchorId="66DE9827">
          <v:shape id="1042" o:spid="_x0000_i1030" type="#_x0000_t75" style="width:43.8pt;height:16.2pt;visibility:visible;mso-wrap-style:none;mso-position-vertical-relative:line" o:ole="">
            <v:imagedata r:id="rId13" o:title=""/>
          </v:shape>
          <o:OLEObject Type="Embed" ProgID="Equation.3" ShapeID="1042" DrawAspect="Content" ObjectID="_1711208068" r:id="rId14"/>
        </w:object>
      </w:r>
      <w:r w:rsidRPr="000C433E">
        <w:t xml:space="preserve"> критическое значение статистики есть квантиль распределения Колмогорова уровня 0,95: </w:t>
      </w:r>
      <w:r w:rsidR="00D10953">
        <w:pict w14:anchorId="048007AF">
          <v:shape id="_x0000_s1031" style="position:absolute;left:0;text-align:left;margin-left:0;margin-top:0;width:50pt;height:50pt;z-index:251660288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 w:rsidRPr="007A3B6C">
        <w:object w:dxaOrig="1100" w:dyaOrig="380" w14:anchorId="3EB36D30">
          <v:shape id="1043" o:spid="_x0000_i1031" type="#_x0000_t75" style="width:55.2pt;height:19.2pt;visibility:visible;mso-wrap-style:none;mso-position-vertical-relative:line" o:ole="">
            <v:imagedata r:id="rId15" o:title=""/>
          </v:shape>
          <o:OLEObject Type="Embed" ProgID="Equation.3" ShapeID="1043" DrawAspect="Content" ObjectID="_1711208069" r:id="rId16"/>
        </w:object>
      </w:r>
      <w:r w:rsidRPr="000C433E">
        <w:t xml:space="preserve"> (берем из Приложения 3 ниже). </w:t>
      </w:r>
    </w:p>
    <w:p w14:paraId="0556FF64" w14:textId="47D8A15C" w:rsidR="00E9429C" w:rsidRPr="000C433E" w:rsidRDefault="007A3B6C" w:rsidP="0095648C">
      <w:pPr>
        <w:jc w:val="both"/>
      </w:pPr>
      <w:r w:rsidRPr="000C433E">
        <w:t xml:space="preserve">Так как </w:t>
      </w:r>
      <w:r w:rsidR="00D10953">
        <w:pict w14:anchorId="04708F27">
          <v:shape id="_x0000_s1029" style="position:absolute;left:0;text-align:left;margin-left:0;margin-top:0;width:50pt;height:50pt;z-index:251661312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</m:sSub>
      </m:oMath>
      <w:r w:rsidRPr="000C433E">
        <w:t>, то гипотеза о однородности двух выборок (равенстве распределений двух совокупностей)</w:t>
      </w:r>
      <w:r w:rsidR="000C433E" w:rsidRPr="000C433E">
        <w:t xml:space="preserve"> не</w:t>
      </w:r>
      <w:r w:rsidRPr="000C433E">
        <w:t xml:space="preserve"> принимается.</w:t>
      </w:r>
    </w:p>
    <w:p w14:paraId="75905FEA" w14:textId="55AD9C36" w:rsidR="00E9429C" w:rsidRPr="007A3B6C" w:rsidRDefault="007A3B6C" w:rsidP="0095648C">
      <w:pPr>
        <w:ind w:firstLine="708"/>
        <w:jc w:val="both"/>
      </w:pPr>
      <w:r w:rsidRPr="000C433E">
        <w:t xml:space="preserve">На основе имеющейся таблицы можно утверждать, что достигнутый уровень значимости </w:t>
      </w:r>
      <w:r w:rsidR="00D10953">
        <w:pict w14:anchorId="75F64E73">
          <v:shape id="_x0000_s1027" style="position:absolute;left:0;text-align:left;margin-left:0;margin-top:0;width:50pt;height:50pt;z-index:251662336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набл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ϵ (0,005;0,01)</m:t>
        </m:r>
      </m:oMath>
      <w:r w:rsidRPr="007A3B6C">
        <w:t>.</w:t>
      </w:r>
    </w:p>
    <w:p w14:paraId="004EB656" w14:textId="6CFF8997" w:rsidR="000C433E" w:rsidRPr="007A3B6C" w:rsidRDefault="000C433E" w:rsidP="0095648C">
      <w:pPr>
        <w:ind w:firstLine="708"/>
        <w:jc w:val="both"/>
      </w:pPr>
      <w:r w:rsidRPr="007A3B6C">
        <w:t>Таким образом гипотеза не принимается.</w:t>
      </w:r>
    </w:p>
    <w:p w14:paraId="239E37E7" w14:textId="77777777" w:rsidR="00851A15" w:rsidRPr="007A3B6C" w:rsidRDefault="00851A15" w:rsidP="0095648C">
      <w:pPr>
        <w:jc w:val="both"/>
      </w:pPr>
    </w:p>
    <w:p w14:paraId="07D37010" w14:textId="77777777" w:rsidR="00851A15" w:rsidRPr="000C433E" w:rsidRDefault="00851A15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557ED2CE" w14:textId="77777777" w:rsidR="00851A15" w:rsidRPr="000C433E" w:rsidRDefault="00851A15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7D69FD20" w14:textId="77777777" w:rsidR="00851A15" w:rsidRPr="000C433E" w:rsidRDefault="00851A15" w:rsidP="0095648C">
      <w:pPr>
        <w:jc w:val="both"/>
      </w:pPr>
    </w:p>
    <w:p w14:paraId="6620C216" w14:textId="77777777" w:rsidR="00851A15" w:rsidRPr="000C433E" w:rsidRDefault="00851A15" w:rsidP="0095648C">
      <w:pPr>
        <w:jc w:val="both"/>
      </w:pPr>
    </w:p>
    <w:p w14:paraId="09584C05" w14:textId="77777777" w:rsidR="00851A15" w:rsidRPr="000C433E" w:rsidRDefault="00851A15" w:rsidP="0095648C">
      <w:pPr>
        <w:ind w:firstLine="708"/>
        <w:jc w:val="both"/>
      </w:pPr>
    </w:p>
    <w:p w14:paraId="3EBC83E0" w14:textId="77777777" w:rsidR="00E9429C" w:rsidRPr="000C433E" w:rsidRDefault="00E9429C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611C098E" w14:textId="77777777" w:rsidR="00E9429C" w:rsidRPr="000C433E" w:rsidRDefault="00E9429C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0BA77CFB" w14:textId="77777777" w:rsidR="00E9429C" w:rsidRPr="000C433E" w:rsidRDefault="00E9429C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33726E58" w14:textId="77777777" w:rsidR="00E9429C" w:rsidRPr="000C433E" w:rsidRDefault="00E9429C" w:rsidP="0095648C">
      <w:pPr>
        <w:pStyle w:val="20"/>
        <w:spacing w:line="240" w:lineRule="auto"/>
        <w:ind w:firstLine="708"/>
        <w:rPr>
          <w:i w:val="0"/>
          <w:szCs w:val="24"/>
        </w:rPr>
      </w:pPr>
    </w:p>
    <w:p w14:paraId="47FFF28C" w14:textId="77777777" w:rsidR="00E9429C" w:rsidRPr="000C433E" w:rsidRDefault="00E9429C" w:rsidP="0095648C">
      <w:pPr>
        <w:jc w:val="both"/>
      </w:pPr>
    </w:p>
    <w:p w14:paraId="4108B0C3" w14:textId="77777777" w:rsidR="00E9429C" w:rsidRPr="000C433E" w:rsidRDefault="00E9429C" w:rsidP="0095648C">
      <w:pPr>
        <w:jc w:val="both"/>
      </w:pPr>
    </w:p>
    <w:sectPr w:rsidR="00E9429C" w:rsidRPr="000C433E" w:rsidSect="000C4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9C"/>
    <w:rsid w:val="00063312"/>
    <w:rsid w:val="000C433E"/>
    <w:rsid w:val="0030368A"/>
    <w:rsid w:val="007A3B6C"/>
    <w:rsid w:val="00851A15"/>
    <w:rsid w:val="00885662"/>
    <w:rsid w:val="0095648C"/>
    <w:rsid w:val="00D10953"/>
    <w:rsid w:val="00E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F2DC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Основной текст 2 Знак"/>
    <w:basedOn w:val="a0"/>
    <w:rPr>
      <w:rFonts w:ascii="Times New Roman" w:eastAsia="Times New Roman" w:hAnsi="Times New Roman" w:cs="Times New Roman"/>
      <w:i/>
      <w:sz w:val="24"/>
      <w:szCs w:val="20"/>
    </w:rPr>
  </w:style>
  <w:style w:type="paragraph" w:styleId="20">
    <w:name w:val="Body Text 2"/>
    <w:basedOn w:val="a"/>
    <w:pPr>
      <w:spacing w:line="360" w:lineRule="auto"/>
      <w:jc w:val="both"/>
    </w:pPr>
    <w:rPr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2022-03-20T09:49:00Z</dcterms:created>
  <dcterms:modified xsi:type="dcterms:W3CDTF">2022-04-11T11:48:00Z</dcterms:modified>
  <cp:version>0900.0000.01</cp:version>
</cp:coreProperties>
</file>