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practise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understanding whenever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should be used for simple problems,</w:t>
      </w:r>
    </w:p>
    <w:p>
      <w:pPr>
        <w:numPr>
          <w:ilvl w:val="0"/>
          <w:numId w:val="1001"/>
        </w:numPr>
        <w:pStyle w:val="Compact"/>
      </w:pPr>
      <w:r>
        <w:t xml:space="preserve">(Optional) to help you understanding the conditional operator,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the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method.</w:t>
      </w:r>
    </w:p>
    <w:bookmarkStart w:id="24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CommentTok"/>
        </w:rPr>
        <w:t xml:space="preserve">// We ask the user to enter the day of the week: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Note that anything that is not spelled exactly as </w:t>
      </w:r>
      <w:r>
        <w:br/>
      </w:r>
      <w:r>
        <w:rPr>
          <w:rStyle w:val="CommentTok"/>
        </w:rPr>
        <w:t xml:space="preserve">// in the switch statement will be treated by the </w:t>
      </w:r>
      <w:r>
        <w:br/>
      </w:r>
      <w:r>
        <w:rPr>
          <w:rStyle w:val="CommentTok"/>
        </w:rPr>
        <w:t xml:space="preserve">// default case.</w:t>
      </w:r>
      <w:r>
        <w:br/>
      </w:r>
      <w:r>
        <w:br/>
      </w:r>
      <w:r>
        <w:rPr>
          <w:rStyle w:val="CommentTok"/>
        </w:rPr>
        <w:t xml:space="preserve">// We read from the user: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Variable where the result of our computation will be stored: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Switch statement to map textual description of the day </w:t>
      </w:r>
      <w:r>
        <w:br/>
      </w:r>
      <w:r>
        <w:rPr>
          <w:rStyle w:val="CommentTok"/>
        </w:rPr>
        <w:t xml:space="preserve">// (e.g., "Monday", "Tuesday", …) to its number (1, 2, …).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 display the number corresponding to the day entered: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1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NormalTok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NormalTok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numPr>
          <w:ilvl w:val="0"/>
          <w:numId w:val="1002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2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2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hyperlink r:id="rId22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2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u̲n̲d̲e̲r̲l̲i̲n̲e̲d̲,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t̲u̲e̲s̲d̲a̲y̲↵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M̲O̲N̲D̲A̲Y̲↵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3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you downloaded previously.</w:t>
      </w:r>
    </w:p>
    <w:bookmarkEnd w:id="24"/>
    <w:bookmarkStart w:id="30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4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3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3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5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5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5"/>
    <w:bookmarkStart w:id="26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6"/>
    <w:bookmarkStart w:id="27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7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achieve those problems both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statements.</w:t>
      </w:r>
    </w:p>
    <w:bookmarkEnd w:id="27"/>
    <w:bookmarkStart w:id="29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8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achieve those problems only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bookmarkStart w:id="32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1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9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2"/>
    <w:bookmarkStart w:id="34" w:name="toupper-method"/>
    <w:p>
      <w:pPr>
        <w:pStyle w:val="Heading2"/>
      </w:pP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 contains a method called</w:t>
      </w:r>
      <w:r>
        <w:t xml:space="preserve"> 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3">
        <w:r>
          <w:rPr>
            <w:rStyle w:val="Hyperlink"/>
          </w:rPr>
          <w:t xml:space="preserve">its documentation</w:t>
        </w:r>
      </w:hyperlink>
      <w:r>
        <w:t xml:space="preserve">, but the simplest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2023-01-18T00:48:32Z</dcterms:created>
  <dcterms:modified xsi:type="dcterms:W3CDTF">2023-01-18T00:48:32Z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