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Here's the roadmap table — focused purely on tool quality and efficiency, with advanced features. Grounded in what's already in the codebase (so prerequisites are real), ordered roughly by value-per-effort within each theme.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ctcj44yeiske" w:id="0"/>
      <w:bookmarkEnd w:id="0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A. Detection quality (find more real issues, fewer false ones)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.9036144578313"/>
        <w:gridCol w:w="1691.5662650602408"/>
        <w:gridCol w:w="3082.409638554217"/>
        <w:gridCol w:w="3596.144578313253"/>
        <w:gridCol w:w="613.9759036144578"/>
        <w:tblGridChange w:id="0">
          <w:tblGrid>
            <w:gridCol w:w="375.9036144578313"/>
            <w:gridCol w:w="1691.5662650602408"/>
            <w:gridCol w:w="3082.409638554217"/>
            <w:gridCol w:w="3596.144578313253"/>
            <w:gridCol w:w="613.975903614457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What it does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Why it improves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Effort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Self-consistency voting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a0a0a"/>
                <w:sz w:val="21"/>
                <w:szCs w:val="21"/>
                <w:rtl w:val="0"/>
              </w:rPr>
              <w:t xml:space="preserve">Run the security/code agent 3× at temp &gt;0 on risky diffs; keep only findings that appear in ≥2 samples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Cuts LLM hallucination noise dramatically; agreement-across-samples complements the existing agreement-across-agents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Semantic finding dedup (embeddings)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Correlation engine currently groups by file+line; add embedding similarity so differently-worded duplicates merge too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Cleaner Top Issues; same defect described two ways becomes one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Auto-tuning from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Your valid/false-positive clicks already suppress repeats — extend to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re-weight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severity and confidence per rule/repo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The tool literally gets more precise the more your team uses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Cross-file taint propagation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Today taint tracking is per-file; follow tainted values across files via the reference graph you already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a0a0a"/>
                <w:sz w:val="21"/>
                <w:szCs w:val="21"/>
                <w:rtl w:val="0"/>
              </w:rPr>
              <w:t xml:space="preserve">Catches the injection paths that span controller → service → DAO (the realistic Java case)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L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Test-impact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a0a0a"/>
                <w:sz w:val="21"/>
                <w:szCs w:val="21"/>
                <w:rtl w:val="0"/>
              </w:rPr>
              <w:t xml:space="preserve">Map changed symbols → test files that exercise them; report "these 14 tests must pass before merge"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Converts impact analysis into an actionable, minimal regression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FSD requirement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a0a0a"/>
                <w:sz w:val="21"/>
                <w:szCs w:val="21"/>
                <w:rtl w:val="0"/>
              </w:rPr>
              <w:t xml:space="preserve">Persist extracted FSD requirements per repo; track requirement → implementing-PR history across releases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Spec drift becomes visible; "requirement 3.2 last touched by PR </w:t>
            </w:r>
            <w:hyperlink r:id="rId6">
              <w:r w:rsidDel="00000000" w:rsidR="00000000" w:rsidRPr="00000000">
                <w:rPr>
                  <w:rFonts w:ascii="Roboto" w:cs="Roboto" w:eastAsia="Roboto" w:hAnsi="Roboto"/>
                  <w:color w:val="0073e6"/>
                  <w:sz w:val="21"/>
                  <w:szCs w:val="21"/>
                  <w:rtl w:val="0"/>
                </w:rPr>
                <w:t xml:space="preserve">#214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41pm99qf0wbz" w:id="1"/>
      <w:bookmarkEnd w:id="1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B. Efficiency &amp; cost (faster runs, fewer tokens)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.4075067024129"/>
        <w:gridCol w:w="1355.0670241286864"/>
        <w:gridCol w:w="3500.5898123324396"/>
        <w:gridCol w:w="3513.13672922252"/>
        <w:gridCol w:w="614.798927613941"/>
        <w:tblGridChange w:id="0">
          <w:tblGrid>
            <w:gridCol w:w="376.4075067024129"/>
            <w:gridCol w:w="1355.0670241286864"/>
            <w:gridCol w:w="3500.5898123324396"/>
            <w:gridCol w:w="3513.13672922252"/>
            <w:gridCol w:w="614.79892761394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What it does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Why it improves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Effort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B1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Dynamic agent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a0a0a"/>
                <w:sz w:val="21"/>
                <w:szCs w:val="21"/>
                <w:rtl w:val="0"/>
              </w:rPr>
              <w:t xml:space="preserve">Skip agents whose domain isn't in the diff (no IaC files → no IaC agent LLM call; no SQL → schema static-only)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30–50% token savings on typical PRs; faster wall-clock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a0a0a"/>
                <w:sz w:val="21"/>
                <w:szCs w:val="21"/>
                <w:rtl w:val="0"/>
              </w:rPr>
              <w:t xml:space="preserve">S ⭐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B2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Incremental re-analysis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On PR update, re-analyse only files whose hunks changed since the last run; reuse prior agent results for untouched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Second-push analyses drop from minutes to seconds — the most common real-world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B3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Prompt caching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Anthropic/OpenAI cache the static prompt prefix (system + schema + rubric); only the diff is uncached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~40–60% input-token cost reduction with zero behavior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a0a0a"/>
                <w:sz w:val="21"/>
                <w:szCs w:val="21"/>
                <w:rtl w:val="0"/>
              </w:rPr>
              <w:t xml:space="preserve">S ⭐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B4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Tiered model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Haiku-class model triages each file's risk; only risky files go to the strong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Big PRs get full coverage at a fraction of the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B5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Streaming results to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Push each agent's result to the dashboard as it lands instead of waiting for the full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Reviewer starts reading security findings while QA scenarios still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B6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Symbol-level diff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Cache per-(file-hash, agent) results across PRs — unchanged files in rebases/cherry-picks hit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Org-wide dedup of repeated analysis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9oyka3w2ic76" w:id="2"/>
      <w:bookmarkEnd w:id="2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C. Advanced features (next-level capability)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.9544235924933"/>
        <w:gridCol w:w="1518.176943699732"/>
        <w:gridCol w:w="3876.997319034853"/>
        <w:gridCol w:w="2961.0723860589815"/>
        <w:gridCol w:w="614.798927613941"/>
        <w:tblGridChange w:id="0">
          <w:tblGrid>
            <w:gridCol w:w="388.9544235924933"/>
            <w:gridCol w:w="1518.176943699732"/>
            <w:gridCol w:w="3876.997319034853"/>
            <w:gridCol w:w="2961.0723860589815"/>
            <w:gridCol w:w="614.79892761394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What it does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Effort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Auto-fix PRs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The remediation agent already produces fix diffs — apply them as a suggested commit / follow-up PR with one 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Findings become one-click fixes; biggest developer-delight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Repo knowledge base (RAG)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Index the repo's docs, ADRs, FSDs, and past review comments; agents retrieve relevant context per 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Reviews informed by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your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conventions, not generic best 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L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Risk prediction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Train on your temporal store (change history + which PRs caused incidents) to predict defect probability per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"This file caused 3 of the last 5 incidents" as a first-class gate 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L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Generated-test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QA agent emits test skeletons today — compile &amp; run them in a sandbox, report pass/fail in the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Closes the loop from "you should test X" to "X was tested"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L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Shadow mode + A/B 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Run a candidate prompt/model variant silently alongside production; compare via judge panel + golden gate before promoting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Safe, measured evolution of every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IDE inline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Surface CIAA findings in VS Code/IntelliJ at commit time (pre-PR)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Issues caught before review even starts — cheapest possible fix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L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pzsqdoo79hb2" w:id="3"/>
      <w:bookmarkEnd w:id="3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D. Measurement (know it's getting better)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.3965287049399"/>
        <w:gridCol w:w="2349.3724966622162"/>
        <w:gridCol w:w="6010.894526034713"/>
        <w:gridCol w:w="612.3364485981308"/>
        <w:tblGridChange w:id="0">
          <w:tblGrid>
            <w:gridCol w:w="387.3965287049399"/>
            <w:gridCol w:w="2349.3724966622162"/>
            <w:gridCol w:w="6010.894526034713"/>
            <w:gridCol w:w="612.336448598130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What it does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Effort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Golden corpus from production PRs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Anonymise real reviewed diffs (incl. your Java/DTO patterns) into the CI quality gate — grow from 12 cases to 50+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a0a0a"/>
                <w:sz w:val="21"/>
                <w:szCs w:val="21"/>
                <w:rtl w:val="0"/>
              </w:rPr>
              <w:t xml:space="preserve">S ⭐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Precision/recall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Trend the quality-gate metrics + reviewer feedback rates per agent over releases in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Cost-per-finding 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Track tokens spent per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accepted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finding, per agent — the true efficiency KPI; feeds B1/B4 routing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07F">
      <w:pP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0a0a0a"/>
          <w:sz w:val="21"/>
          <w:szCs w:val="21"/>
          <w:rtl w:val="0"/>
        </w:rPr>
        <w:t xml:space="preserve">⭐ Quick wins to start with: B1 (dynamic agent routing) + B3 (prompt caching) — both are small, purely additive, and immediately cut cost/latency on every single run, while D1 keeps quality measurable as you go. The strongest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1"/>
          <w:szCs w:val="21"/>
          <w:rtl w:val="0"/>
        </w:rPr>
        <w:t xml:space="preserve">quality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play after that is A1 self-consistency voting, and the strongest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1"/>
          <w:szCs w:val="21"/>
          <w:rtl w:val="0"/>
        </w:rPr>
        <w:t xml:space="preserve">capability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play is C1 auto-fix PRs since the remediation agent already produces the diffs.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Want me to implement one of the quick wins now (B1 or B3), or export this table as a markdown file (</w:t>
      </w:r>
      <w:r w:rsidDel="00000000" w:rsidR="00000000" w:rsidRPr="00000000">
        <w:rPr>
          <w:rFonts w:ascii="Roboto Mono" w:cs="Roboto Mono" w:eastAsia="Roboto Mono" w:hAnsi="Roboto Mono"/>
          <w:color w:val="0073e6"/>
          <w:sz w:val="21"/>
          <w:szCs w:val="21"/>
          <w:rtl w:val="0"/>
        </w:rPr>
        <w:t xml:space="preserve">docs/QUALITY_ROADMAP.md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) for sharing?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any other feature set can be added to roadmap like sonar and veracode tool front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Yes — there's a whole "platform front" CIAA hasn't built yet. Sonar and Veracode win enterprise deals less on detection and more on program management: baselines, rule governance, issue lifecycle, audit reporting, portfolio views. Here's that feature set as a roadmap extension, with the Sonar/Veracode equivalent named so the comparison is explicit.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9dxwhsvilhhi" w:id="4"/>
      <w:bookmarkEnd w:id="4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E. Code-quality platform front (SonarQube-style)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.37349397590356"/>
        <w:gridCol w:w="1892.0481927710841"/>
        <w:gridCol w:w="1816.867469879518"/>
        <w:gridCol w:w="4673.734939759036"/>
        <w:gridCol w:w="613.9759036144578"/>
        <w:tblGridChange w:id="0">
          <w:tblGrid>
            <w:gridCol w:w="363.37349397590356"/>
            <w:gridCol w:w="1892.0481927710841"/>
            <w:gridCol w:w="1816.867469879518"/>
            <w:gridCol w:w="4673.734939759036"/>
            <w:gridCol w:w="613.975903614457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Sonar equivalent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What it adds to CIAA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Effort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Whole-repo baseline scan + "new code"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Clean as You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Scan the entire repo once to establish a baseline; PRs are judged only on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code, with legacy debt tracked separately. Today CIAA is diff-only — this adds repo health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L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Quality profiles / rule management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Quality Profiles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Enable/disable detection rules, adjust severities, and define custom rules (regex/AST patterns) per repo or team from the UI — instead of code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Technical-debt quantification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SQALE rating, remediation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Per-issue fix-effort estimate (minutes), aggregated into an A–E maintainability rating per repo — the metric managers actually track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Code duplication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Copy-paste detector across the diff and repo; duplication % as a gate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Coverage ingestion + 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Coverage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Import JaCoCo/Cobertura reports from CI so coverage deltas are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measured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, not estimated from the diff; trend per repo in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a0a0a"/>
                <w:sz w:val="21"/>
                <w:szCs w:val="21"/>
                <w:rtl w:val="0"/>
              </w:rPr>
              <w:t xml:space="preserve">S ⭐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Configurable gate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Quality Gate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Per-repo gate rules from the UI: "HOLD if new-code coverage &lt; 80% OR duplication &gt; 3% OR any new critical" — today thresholds are env vars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11tm88kcyvz3" w:id="5"/>
      <w:bookmarkEnd w:id="5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F. Security program front (Veracode-style)</w:t>
      </w:r>
    </w:p>
    <w:tbl>
      <w:tblPr>
        <w:tblStyle w:val="Table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.37349397590356"/>
        <w:gridCol w:w="1578.7951807228915"/>
        <w:gridCol w:w="1929.6385542168673"/>
        <w:gridCol w:w="4874.216867469879"/>
        <w:gridCol w:w="613.9759036144578"/>
        <w:tblGridChange w:id="0">
          <w:tblGrid>
            <w:gridCol w:w="363.37349397590356"/>
            <w:gridCol w:w="1578.7951807228915"/>
            <w:gridCol w:w="1929.6385542168673"/>
            <w:gridCol w:w="4874.216867469879"/>
            <w:gridCol w:w="613.975903614457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Veracode equivalent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What it adds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Effort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Issue lifecycle &amp; mitigation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Flaw mitigation +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a0a0a"/>
                <w:sz w:val="21"/>
                <w:szCs w:val="21"/>
                <w:rtl w:val="0"/>
              </w:rPr>
              <w:t xml:space="preserve">Findings get states (open → confirmed → mitigated → false positive → fixed), an assignee, and mitigations require security-team approval. Your valid/FP buttons are the seed of this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Policy center with grace periods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Policy scans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Org-level policies: "criticals fixed within 7 days, highs within 30"; exemptions with expiry dates; PRs evaluated against the policy, not just the 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SBOM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SCA / SBOM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Emit CycloneDX/SPDX software bill of materials per repo per release — increasingly a regulatory requirement in banking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a0a0a"/>
                <w:sz w:val="21"/>
                <w:szCs w:val="21"/>
                <w:rtl w:val="0"/>
              </w:rPr>
              <w:t xml:space="preserve">S ⭐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Auditor-grade compliance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Compliance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Exportable, signed PDF attestation per release: OWASP/PCI-DSS/CWE mapping with evidence, gate history, and reviewer sign-offs. Your compliance tab has the data; this packages it for auditors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Security hotspot review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Hotspot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 dedicated "needs human security review" queue (uses your confidence scores: medium-confidence security findings land here instead of holding the gate)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DAST/pen-test result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Dynamic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Don't build DAST —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results (OWASP ZAP, Burp) and correlate them with static findings on the same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ijulxp35m8jp" w:id="6"/>
      <w:bookmarkEnd w:id="6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G. Portfolio &amp; governance front (both tools)</w:t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.433734939759"/>
        <w:gridCol w:w="1791.8072289156626"/>
        <w:gridCol w:w="1766.7469879518071"/>
        <w:gridCol w:w="4799.036144578313"/>
        <w:gridCol w:w="613.9759036144578"/>
        <w:tblGridChange w:id="0">
          <w:tblGrid>
            <w:gridCol w:w="388.433734939759"/>
            <w:gridCol w:w="1791.8072289156626"/>
            <w:gridCol w:w="1766.7469879518071"/>
            <w:gridCol w:w="4799.036144578313"/>
            <w:gridCol w:w="613.975903614457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Equivalent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What it adds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Effort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G1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Portfolio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Sonar Portfolios / Veracode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Org-level rollup: every repo's rating, open criticals, gate pass rate, debt trend — the CISO/engineering-director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G2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Application risk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Veracode app profiles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Composite per-repo risk score (findings + churn + coverage + dependency health + incident history) tracked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G3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Jira/ServiceNow issue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Findings create tickets with two-way status sync (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ticket_creator.py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exists as a stub to build 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a0a0a"/>
                <w:sz w:val="21"/>
                <w:szCs w:val="21"/>
                <w:rtl w:val="0"/>
              </w:rPr>
              <w:t xml:space="preserve">S ⭐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G4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Scheduled scans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Cron policy scans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Nightly full-repo scans independent of PRs — catches drift, new CVEs in existing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0E6">
      <w:pP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Three things worth saying for your management deck narrative: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Where CIAA already beats both: diff-native AI review, cross-repo blast radius, FSD validation, deterministic auditable gate. These platform features are about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1"/>
          <w:szCs w:val="21"/>
          <w:rtl w:val="0"/>
        </w:rPr>
        <w:t xml:space="preserve">parity on program management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not catching up on detection.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Partially built already: compliance mapping (F4's data), feedback loop (F1's seed), Insights trends (G1's seed), OSV SCA (F3's input),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ticket_creator.py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(G3's stub) — so most of these are extensions, not greenfield.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a0a0a"/>
          <w:sz w:val="21"/>
          <w:szCs w:val="21"/>
          <w:rtl w:val="0"/>
        </w:rPr>
        <w:t xml:space="preserve">Best sequencing: the ⭐ quick wins (E5 coverage ingestion, F3 SBOM, G3 Jira sync) are each small and individually demo-able; the strategic ones are E1 baseline + new-code mode (changes how the whole org perceives the tool — from "PR checker" to "code-quality platform") and F1 issue lifecycle (makes findings managed work items rather than report rows).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Want me to merge these into the existing A–D roadmap as a single </w:t>
      </w:r>
      <w:r w:rsidDel="00000000" w:rsidR="00000000" w:rsidRPr="00000000">
        <w:rPr>
          <w:rFonts w:ascii="Roboto Mono" w:cs="Roboto Mono" w:eastAsia="Roboto Mono" w:hAnsi="Roboto Mono"/>
          <w:color w:val="0073e6"/>
          <w:sz w:val="21"/>
          <w:szCs w:val="21"/>
          <w:rtl w:val="0"/>
        </w:rPr>
        <w:t xml:space="preserve">docs/QUALITY_ROADMAP.md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(kept out of the deck, as you said), or start implementing one of the quick wins?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can you add all these roadmaps in presentation slides with clear description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I'll add the full roadmap (quality, efficiency, advanced AI, and the Sonar/Veracode platform front) as three clearly-described table slides after the existing "Planned tasks" slide. Adding a reusable table-slide helper and the three slides:</w:t>
      </w:r>
    </w:p>
    <w:p w:rsidR="00000000" w:rsidDel="00000000" w:rsidP="00000000" w:rsidRDefault="00000000" w:rsidRPr="00000000" w14:paraId="000000EE">
      <w:pPr>
        <w:shd w:fill="fdfdfc" w:val="clear"/>
        <w:rPr>
          <w:rFonts w:ascii="Roboto" w:cs="Roboto" w:eastAsia="Roboto" w:hAnsi="Roboto"/>
          <w:color w:val="6e6c6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e6c68"/>
          <w:sz w:val="21"/>
          <w:szCs w:val="21"/>
          <w:rtl w:val="0"/>
        </w:rPr>
        <w:t xml:space="preserve">Ran 2 commands, read 4 files, edited a file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All three roadmap slides render cleanly. Verify the closing slide and clean up:</w:t>
      </w:r>
    </w:p>
    <w:p w:rsidR="00000000" w:rsidDel="00000000" w:rsidP="00000000" w:rsidRDefault="00000000" w:rsidRPr="00000000" w14:paraId="000000F0">
      <w:pPr>
        <w:shd w:fill="fdfdfc" w:val="clear"/>
        <w:rPr>
          <w:rFonts w:ascii="Roboto" w:cs="Roboto" w:eastAsia="Roboto" w:hAnsi="Roboto"/>
          <w:color w:val="6e6c6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e6c68"/>
          <w:sz w:val="21"/>
          <w:szCs w:val="21"/>
          <w:rtl w:val="0"/>
        </w:rPr>
        <w:t xml:space="preserve">RanVerify count + cleanup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Done. The deck is now 23 slides with the complete roadmap across four slides (the original phase overview + three detailed tables).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 Mono" w:cs="Roboto Mono" w:eastAsia="Roboto Mono" w:hAnsi="Roboto Mono"/>
          <w:color w:val="0073e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0073e6"/>
          <w:sz w:val="21"/>
          <w:szCs w:val="21"/>
          <w:rtl w:val="0"/>
        </w:rPr>
        <w:t xml:space="preserve">deck/CIAA_Overview.pptx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ressrvqqnmgd" w:id="7"/>
      <w:bookmarkEnd w:id="7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The roadmap section now reads (slides 18–22)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9.3625498007968"/>
        <w:gridCol w:w="8800.637450199203"/>
        <w:tblGridChange w:id="0">
          <w:tblGrid>
            <w:gridCol w:w="559.3625498007968"/>
            <w:gridCol w:w="8800.63745019920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Slide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Content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a0a0a"/>
                <w:sz w:val="21"/>
                <w:szCs w:val="21"/>
                <w:rtl w:val="0"/>
              </w:rPr>
              <w:t xml:space="preserve">Where CIAA goes next — the 4-phase overview (Scale-out → Enterprise access → Deeper detection → Operate at scale)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Planned tasks — the 12-task table incl. your FSD items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Detection quality &amp; measurement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(new)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— A1–A6 + D1–D3: self-consistency voting, semantic dedup, auto-tuning from feedback, cross-file taint, test-impact selection, FSD requirement memory, golden corpus growth, precision/recall dashboard, cost-per-finding KPI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Efficiency, cost &amp; advanced AI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(new)</w:t>
            </w:r>
            <w:r w:rsidDel="00000000" w:rsidR="00000000" w:rsidRPr="00000000">
              <w:rPr>
                <w:rFonts w:ascii="Nova Mono" w:cs="Nova Mono" w:eastAsia="Nova Mono" w:hAnsi="Nova Mono"/>
                <w:color w:val="0a0a0a"/>
                <w:sz w:val="21"/>
                <w:szCs w:val="21"/>
                <w:rtl w:val="0"/>
              </w:rPr>
              <w:t xml:space="preserve"> — B1–B6 + C1–C6: dynamic agent routing ⭐, incremental re-analysis, prompt caching ⭐, tiered model routing, streaming results, diff cache, auto-fix PRs, repo RAG, risk prediction, generated-test execution, shadow mode A/B, IDE inline feedback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Platform front — parity with SonarQube &amp; Veracode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(new)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— E/F/G items, each with a "Sonar/Veracode equivalent" column (Clean as You Code, Quality Profiles, SQALE, Flaw mitigation, Policy scans, SBOM, Portfolios…) so the audience sees exactly which competitor capability each row matches</w:t>
            </w:r>
          </w:p>
        </w:tc>
      </w:tr>
    </w:tbl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Each new slide has a one-line framing subtitle, full plain-English descriptions per row, color-coded themes, and an honest footer: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Slide 20: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1"/>
          <w:szCs w:val="21"/>
          <w:rtl w:val="0"/>
        </w:rPr>
        <w:t xml:space="preserve">"Quality features build on shipped foundations: evidence guard · cross-agent correlation · reviewer feedback loop · CI quality gate"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Slide 21: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0a0a0a"/>
          <w:sz w:val="21"/>
          <w:szCs w:val="21"/>
          <w:rtl w:val="0"/>
        </w:rPr>
        <w:t xml:space="preserve">"⭐ = quick win. Efficiency items compound: routing + caching + tiering apply to every analysis the org runs"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Slide 22: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1"/>
          <w:szCs w:val="21"/>
          <w:rtl w:val="0"/>
        </w:rPr>
        <w:t xml:space="preserve">"Detection stays our edge"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framing + the four trimmed items (duplication detection, hotspot queue, DAST import, app risk scoring) noted so nothing from our discussion is lost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5qkabzam2r6z" w:id="8"/>
      <w:bookmarkEnd w:id="8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QA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Rendered and inspected all three new slides — tables fit cleanly (9, 12, and 12 rows), no overflow, themes legible, page numbers correct, closing slide confirmed at 23. Scratch files removed.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0a0a0a"/>
          <w:sz w:val="21"/>
          <w:szCs w:val="21"/>
          <w:rtl w:val="0"/>
        </w:rPr>
        <w:t xml:space="preserve">The deck now covers the complete arc: problem → solution → how it works → coverage → techniques → governance → vs SAST → enterprise-grade → tools → 4-slide roadmap → close. That's a full management-and-engineering story in one file.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mbaPodili/code-impact-analysis-review/issues/21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