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bmission-readiness-checklist"/>
      <w:r>
        <w:t xml:space="preserve">Submission Readiness Checklist</w:t>
      </w:r>
      <w:bookmarkEnd w:id="20"/>
    </w:p>
    <w:p>
      <w:pPr>
        <w:pStyle w:val="Heading2"/>
      </w:pPr>
      <w:bookmarkStart w:id="21" w:name="purpose"/>
      <w:r>
        <w:t xml:space="preserve">Purpose</w:t>
      </w:r>
      <w:bookmarkEnd w:id="21"/>
    </w:p>
    <w:p>
      <w:pPr>
        <w:pStyle w:val="FirstParagraph"/>
      </w:pPr>
      <w:r>
        <w:t xml:space="preserve">This checklist separates the current manuscript status into two levels:</w:t>
      </w:r>
    </w:p>
    <w:p>
      <w:pPr>
        <w:numPr>
          <w:ilvl w:val="0"/>
          <w:numId w:val="1001"/>
        </w:numPr>
        <w:pStyle w:val="Compact"/>
      </w:pPr>
      <w:r>
        <w:t xml:space="preserve">MSc supervisor / progress-report readiness.</w:t>
      </w:r>
    </w:p>
    <w:p>
      <w:pPr>
        <w:numPr>
          <w:ilvl w:val="0"/>
          <w:numId w:val="1001"/>
        </w:numPr>
        <w:pStyle w:val="Compact"/>
      </w:pPr>
      <w:r>
        <w:t xml:space="preserve">Journal submission readiness.</w:t>
      </w:r>
    </w:p>
    <w:p>
      <w:pPr>
        <w:pStyle w:val="FirstParagraph"/>
      </w:pPr>
      <w:r>
        <w:t xml:space="preserve">The project is currently strong as an MSc research manuscript draft, but it is not yet ready for direct journal submission.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current-status-summary"/>
      <w:r>
        <w:t xml:space="preserve">Current Status Summary</w:t>
      </w:r>
      <w:bookmarkEnd w:id="22"/>
    </w:p>
    <w:p>
      <w:pPr>
        <w:pStyle w:val="FirstParagraph"/>
      </w:pPr>
      <w:r>
        <w:t xml:space="preserve">The project now includes:</w:t>
      </w:r>
    </w:p>
    <w:p>
      <w:pPr>
        <w:numPr>
          <w:ilvl w:val="0"/>
          <w:numId w:val="1002"/>
        </w:numPr>
        <w:pStyle w:val="Compact"/>
      </w:pPr>
      <w:r>
        <w:t xml:space="preserve">Reproducible experiment scripts.</w:t>
      </w:r>
    </w:p>
    <w:p>
      <w:pPr>
        <w:numPr>
          <w:ilvl w:val="0"/>
          <w:numId w:val="1002"/>
        </w:numPr>
        <w:pStyle w:val="Compact"/>
      </w:pPr>
      <w:r>
        <w:t xml:space="preserve">Three trained model pipelines: ResNet18, EfficientNet-B0, and ViT-B/16.</w:t>
      </w:r>
    </w:p>
    <w:p>
      <w:pPr>
        <w:numPr>
          <w:ilvl w:val="0"/>
          <w:numId w:val="1002"/>
        </w:numPr>
        <w:pStyle w:val="Compact"/>
      </w:pPr>
      <w:r>
        <w:t xml:space="preserve">D1 internal evaluation.</w:t>
      </w:r>
    </w:p>
    <w:p>
      <w:pPr>
        <w:numPr>
          <w:ilvl w:val="0"/>
          <w:numId w:val="1002"/>
        </w:numPr>
        <w:pStyle w:val="Compact"/>
      </w:pPr>
      <w:r>
        <w:t xml:space="preserve">D2 overlap audit and rejection.</w:t>
      </w:r>
    </w:p>
    <w:p>
      <w:pPr>
        <w:numPr>
          <w:ilvl w:val="0"/>
          <w:numId w:val="1002"/>
        </w:numPr>
        <w:pStyle w:val="Compact"/>
      </w:pPr>
      <w:r>
        <w:t xml:space="preserve">D3B shifted-domain evaluation.</w:t>
      </w:r>
    </w:p>
    <w:p>
      <w:pPr>
        <w:numPr>
          <w:ilvl w:val="0"/>
          <w:numId w:val="1002"/>
        </w:numPr>
        <w:pStyle w:val="Compact"/>
      </w:pPr>
      <w:r>
        <w:t xml:space="preserve">Calibration and temperature scaling analysis.</w:t>
      </w:r>
    </w:p>
    <w:p>
      <w:pPr>
        <w:numPr>
          <w:ilvl w:val="0"/>
          <w:numId w:val="1002"/>
        </w:numPr>
        <w:pStyle w:val="Compact"/>
      </w:pPr>
      <w:r>
        <w:t xml:space="preserve">Generated tables.</w:t>
      </w:r>
    </w:p>
    <w:p>
      <w:pPr>
        <w:numPr>
          <w:ilvl w:val="0"/>
          <w:numId w:val="1002"/>
        </w:numPr>
        <w:pStyle w:val="Compact"/>
      </w:pPr>
      <w:r>
        <w:t xml:space="preserve">Generated figures.</w:t>
      </w:r>
    </w:p>
    <w:p>
      <w:pPr>
        <w:numPr>
          <w:ilvl w:val="0"/>
          <w:numId w:val="1002"/>
        </w:numPr>
        <w:pStyle w:val="Compact"/>
      </w:pPr>
      <w:r>
        <w:t xml:space="preserve">Manuscript draft.</w:t>
      </w:r>
    </w:p>
    <w:p>
      <w:pPr>
        <w:numPr>
          <w:ilvl w:val="0"/>
          <w:numId w:val="1002"/>
        </w:numPr>
        <w:pStyle w:val="Compact"/>
      </w:pPr>
      <w:r>
        <w:t xml:space="preserve">Figure and table captions.</w:t>
      </w:r>
    </w:p>
    <w:p>
      <w:pPr>
        <w:numPr>
          <w:ilvl w:val="0"/>
          <w:numId w:val="1002"/>
        </w:numPr>
        <w:pStyle w:val="Compact"/>
      </w:pPr>
      <w:r>
        <w:t xml:space="preserve">Citation placeholders.</w:t>
      </w:r>
    </w:p>
    <w:p>
      <w:pPr>
        <w:numPr>
          <w:ilvl w:val="0"/>
          <w:numId w:val="1002"/>
        </w:numPr>
        <w:pStyle w:val="Compact"/>
      </w:pPr>
      <w:r>
        <w:t xml:space="preserve">Reference tracking files.</w:t>
      </w:r>
    </w:p>
    <w:p>
      <w:pPr>
        <w:numPr>
          <w:ilvl w:val="0"/>
          <w:numId w:val="1002"/>
        </w:numPr>
        <w:pStyle w:val="Compact"/>
      </w:pPr>
      <w:r>
        <w:t xml:space="preserve">Citation integrity audit.</w:t>
      </w:r>
    </w:p>
    <w:p>
      <w:pPr>
        <w:numPr>
          <w:ilvl w:val="0"/>
          <w:numId w:val="1002"/>
        </w:numPr>
        <w:pStyle w:val="Compact"/>
      </w:pPr>
      <w:r>
        <w:t xml:space="preserve">AI use and citation integrity protocol.</w:t>
      </w:r>
    </w:p>
    <w:p>
      <w:pPr>
        <w:pStyle w:val="FirstParagraph"/>
      </w:pPr>
      <w:r>
        <w:t xml:space="preserve">Current status:</w:t>
      </w:r>
    </w:p>
    <w:p>
      <w:pPr>
        <w:numPr>
          <w:ilvl w:val="0"/>
          <w:numId w:val="1003"/>
        </w:numPr>
        <w:pStyle w:val="Compact"/>
      </w:pPr>
      <w:r>
        <w:t xml:space="preserve">MSc supervisor update: Ready.</w:t>
      </w:r>
    </w:p>
    <w:p>
      <w:pPr>
        <w:numPr>
          <w:ilvl w:val="0"/>
          <w:numId w:val="1003"/>
        </w:numPr>
        <w:pStyle w:val="Compact"/>
      </w:pPr>
      <w:r>
        <w:t xml:space="preserve">MSc thesis results chapter draft: Strong first draft.</w:t>
      </w:r>
    </w:p>
    <w:p>
      <w:pPr>
        <w:numPr>
          <w:ilvl w:val="0"/>
          <w:numId w:val="1003"/>
        </w:numPr>
        <w:pStyle w:val="Compact"/>
      </w:pPr>
      <w:r>
        <w:t xml:space="preserve">Journal submission: Not ready yet.</w:t>
      </w:r>
    </w:p>
    <w:p>
      <w:pPr>
        <w:numPr>
          <w:ilvl w:val="0"/>
          <w:numId w:val="1003"/>
        </w:numPr>
        <w:pStyle w:val="Compact"/>
      </w:pPr>
      <w:r>
        <w:t xml:space="preserve">Q1 journal submission: Not ready yet.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sc-supervisor-ready-checklist"/>
      <w:r>
        <w:t xml:space="preserve">MSc Supervisor-Ready Checklist</w:t>
      </w:r>
      <w:bookmarkEnd w:id="2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Clear research question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Focuses on reliability beyond internal accuracy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Reproducible environment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Environment and setup documentation exist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 usage decisions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D1 used, D2 rejected, D3B used cautiously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Leakage / overlap auditing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D2 overlap and D1-D3B audit documented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model training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E001, E002, E003 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Internal performance results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Table 2 and Figure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Calibration results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Table 3 and Figure 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D3B shifted-domain results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Table 4 and Figures 4–5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D3B temperature-scaled results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Table 5 and Figure 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Pipeline figure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Figure 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Manuscript draft</w:t>
            </w:r>
          </w:p>
        </w:tc>
        <w:tc>
          <w:p>
            <w:pPr>
              <w:pStyle w:val="Compact"/>
              <w:jc w:val="left"/>
            </w:pPr>
            <w:r>
              <w:t xml:space="preserve">Complete</w:t>
            </w:r>
          </w:p>
        </w:tc>
        <w:tc>
          <w:p>
            <w:pPr>
              <w:pStyle w:val="Compact"/>
              <w:jc w:val="left"/>
            </w:pPr>
            <w:r>
              <w:t xml:space="preserve">Draft includes Introduction, Methods, Results, Discussion, Conclusion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Citation placeholders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Placeholders inserted, but final citation style not applied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Literature integration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Reference backbone exists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 explanation quality</w:t>
            </w:r>
          </w:p>
        </w:tc>
        <w:tc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p>
            <w:pPr>
              <w:pStyle w:val="Compact"/>
              <w:jc w:val="left"/>
            </w:pPr>
            <w:r>
              <w:t xml:space="preserve">Suitable for showing progress and methodological maturity</w:t>
            </w:r>
          </w:p>
        </w:tc>
      </w:tr>
    </w:tbl>
    <w:p>
      <w:pPr>
        <w:pStyle w:val="BodyText"/>
      </w:pPr>
      <w:r>
        <w:t xml:space="preserve">Judgment:</w:t>
      </w:r>
    </w:p>
    <w:p>
      <w:pPr>
        <w:pStyle w:val="BodyText"/>
      </w:pPr>
      <w:r>
        <w:t xml:space="preserve">The project is ready to show to a supervisor as a serious MSc-level research update.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journal-submission-ready-checklist"/>
      <w:r>
        <w:t xml:space="preserve">Journal Submission-Ready Checklist</w:t>
      </w:r>
      <w:bookmarkEnd w:id="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 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literature review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Read and verify every cited paper fully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reference formatting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Convert REF placeholders into target journal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Target journal selected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Choose journal before final formatting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Journal author guidelines checked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Check word limits, figure limits, structure, AI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disclosure decision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Follow target journal policy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availability statement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Define what can be shared and what is restricted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availability statement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Link GitHub repository once cleaned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Ethics / dataset use statement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Clarify public dataset use and TCIA/D3B terms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Figure visual inspection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Open every figure and verify readability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 formatting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Convert markdown tables to journal 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Abstract polish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Needs journal-style abstract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Methods detail check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Needs final reproducibility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Statistical reporting check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Ensure all metrics and sample counts are consistent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Limitations polish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Already conservative, but needs final journal style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 validation language check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Must avoid overclaiming D3B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Clinical claim check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Must avoid deployment or diagnostic-readiness claims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Supplementary material plan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Decide what goes into supplement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Supervisor review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Supervisor should review before journal targeting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Independent code/result check</w:t>
            </w:r>
          </w:p>
        </w:tc>
        <w:tc>
          <w:p>
            <w:pPr>
              <w:pStyle w:val="Compact"/>
              <w:jc w:val="left"/>
            </w:pPr>
            <w:r>
              <w:t xml:space="preserve">Not complete</w:t>
            </w:r>
          </w:p>
        </w:tc>
        <w:tc>
          <w:p>
            <w:pPr>
              <w:pStyle w:val="Compact"/>
              <w:jc w:val="left"/>
            </w:pPr>
            <w:r>
              <w:t xml:space="preserve">Ideally rerun key scripts or verify artifacts</w:t>
            </w:r>
          </w:p>
        </w:tc>
      </w:tr>
    </w:tbl>
    <w:p>
      <w:pPr>
        <w:pStyle w:val="BodyText"/>
      </w:pPr>
      <w:r>
        <w:t xml:space="preserve">Judgment:</w:t>
      </w:r>
    </w:p>
    <w:p>
      <w:pPr>
        <w:pStyle w:val="BodyText"/>
      </w:pPr>
      <w:r>
        <w:t xml:space="preserve">The manuscript is not journal-submission-ready yet. It needs literature verification, journal formatting, final reference conversion, and a stricter reporting pass.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critical-do-not-claim-list"/>
      <w:r>
        <w:t xml:space="preserve">Critical Do-Not-Claim List</w:t>
      </w:r>
      <w:bookmarkEnd w:id="25"/>
    </w:p>
    <w:p>
      <w:pPr>
        <w:pStyle w:val="FirstParagraph"/>
      </w:pPr>
      <w:r>
        <w:t xml:space="preserve">The manuscript must not claim:</w:t>
      </w:r>
    </w:p>
    <w:p>
      <w:pPr>
        <w:numPr>
          <w:ilvl w:val="0"/>
          <w:numId w:val="1004"/>
        </w:numPr>
        <w:pStyle w:val="Compact"/>
      </w:pPr>
      <w:r>
        <w:t xml:space="preserve">That D3B is full four-class external validation.</w:t>
      </w:r>
    </w:p>
    <w:p>
      <w:pPr>
        <w:numPr>
          <w:ilvl w:val="0"/>
          <w:numId w:val="1004"/>
        </w:numPr>
        <w:pStyle w:val="Compact"/>
      </w:pPr>
      <w:r>
        <w:t xml:space="preserve">That the models are clinically reliable.</w:t>
      </w:r>
    </w:p>
    <w:p>
      <w:pPr>
        <w:numPr>
          <w:ilvl w:val="0"/>
          <w:numId w:val="1004"/>
        </w:numPr>
        <w:pStyle w:val="Compact"/>
      </w:pPr>
      <w:r>
        <w:t xml:space="preserve">That the models are ready for deployment.</w:t>
      </w:r>
    </w:p>
    <w:p>
      <w:pPr>
        <w:numPr>
          <w:ilvl w:val="0"/>
          <w:numId w:val="1004"/>
        </w:numPr>
        <w:pStyle w:val="Compact"/>
      </w:pPr>
      <w:r>
        <w:t xml:space="preserve">That EfficientNet-B0 is universally superior.</w:t>
      </w:r>
    </w:p>
    <w:p>
      <w:pPr>
        <w:numPr>
          <w:ilvl w:val="0"/>
          <w:numId w:val="1004"/>
        </w:numPr>
        <w:pStyle w:val="Compact"/>
      </w:pPr>
      <w:r>
        <w:t xml:space="preserve">That ViT-B/16 is generally worse than CNNs.</w:t>
      </w:r>
    </w:p>
    <w:p>
      <w:pPr>
        <w:numPr>
          <w:ilvl w:val="0"/>
          <w:numId w:val="1004"/>
        </w:numPr>
        <w:pStyle w:val="Compact"/>
      </w:pPr>
      <w:r>
        <w:t xml:space="preserve">That temperature scaling solves dataset shift.</w:t>
      </w:r>
    </w:p>
    <w:p>
      <w:pPr>
        <w:numPr>
          <w:ilvl w:val="0"/>
          <w:numId w:val="1004"/>
        </w:numPr>
        <w:pStyle w:val="Compact"/>
      </w:pPr>
      <w:r>
        <w:t xml:space="preserve">That calibration is equivalent to full uncertainty estimation.</w:t>
      </w:r>
    </w:p>
    <w:p>
      <w:pPr>
        <w:numPr>
          <w:ilvl w:val="0"/>
          <w:numId w:val="1004"/>
        </w:numPr>
        <w:pStyle w:val="Compact"/>
      </w:pPr>
      <w:r>
        <w:t xml:space="preserve">That D2 was useless; the correct claim is that D2 was unsuitable as clean external validation because of overlap.</w:t>
      </w:r>
    </w:p>
    <w:p>
      <w:pPr>
        <w:numPr>
          <w:ilvl w:val="0"/>
          <w:numId w:val="1004"/>
        </w:numPr>
        <w:pStyle w:val="Compact"/>
      </w:pPr>
      <w:r>
        <w:t xml:space="preserve">That the study proves all brain MRI classifiers are unreliable.</w:t>
      </w:r>
    </w:p>
    <w:p>
      <w:pPr>
        <w:numPr>
          <w:ilvl w:val="0"/>
          <w:numId w:val="1004"/>
        </w:numPr>
        <w:pStyle w:val="Compact"/>
      </w:pPr>
      <w:r>
        <w:t xml:space="preserve">That the study is a clinical validation study.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efensible-core-claims"/>
      <w:r>
        <w:t xml:space="preserve">Defensible Core Claims</w:t>
      </w:r>
      <w:bookmarkEnd w:id="26"/>
    </w:p>
    <w:p>
      <w:pPr>
        <w:pStyle w:val="FirstParagraph"/>
      </w:pPr>
      <w:r>
        <w:t xml:space="preserve">The manuscript can defensibly claim:</w:t>
      </w:r>
    </w:p>
    <w:p>
      <w:pPr>
        <w:numPr>
          <w:ilvl w:val="0"/>
          <w:numId w:val="1005"/>
        </w:numPr>
        <w:pStyle w:val="Compact"/>
      </w:pPr>
      <w:r>
        <w:t xml:space="preserve">High internal performance was achieved on D1.</w:t>
      </w:r>
    </w:p>
    <w:p>
      <w:pPr>
        <w:numPr>
          <w:ilvl w:val="0"/>
          <w:numId w:val="1005"/>
        </w:numPr>
        <w:pStyle w:val="Compact"/>
      </w:pPr>
      <w:r>
        <w:t xml:space="preserve">D2 was rejected as clean external validation due to substantial overlap with D1.</w:t>
      </w:r>
    </w:p>
    <w:p>
      <w:pPr>
        <w:numPr>
          <w:ilvl w:val="0"/>
          <w:numId w:val="1005"/>
        </w:numPr>
        <w:pStyle w:val="Compact"/>
      </w:pPr>
      <w:r>
        <w:t xml:space="preserve">D3B showed unstable glioma-focused shifted-domain behaviour.</w:t>
      </w:r>
    </w:p>
    <w:p>
      <w:pPr>
        <w:numPr>
          <w:ilvl w:val="0"/>
          <w:numId w:val="1005"/>
        </w:numPr>
        <w:pStyle w:val="Compact"/>
      </w:pPr>
      <w:r>
        <w:t xml:space="preserve">Temperature scaling improved internal calibration.</w:t>
      </w:r>
    </w:p>
    <w:p>
      <w:pPr>
        <w:numPr>
          <w:ilvl w:val="0"/>
          <w:numId w:val="1005"/>
        </w:numPr>
        <w:pStyle w:val="Compact"/>
      </w:pPr>
      <w:r>
        <w:t xml:space="preserve">Temperature scaling softened D3B confidence but did not change class predictions.</w:t>
      </w:r>
    </w:p>
    <w:p>
      <w:pPr>
        <w:numPr>
          <w:ilvl w:val="0"/>
          <w:numId w:val="1005"/>
        </w:numPr>
        <w:pStyle w:val="Compact"/>
      </w:pPr>
      <w:r>
        <w:t xml:space="preserve">Internal accuracy alone is insufficient evidence of reliability.</w:t>
      </w:r>
    </w:p>
    <w:p>
      <w:pPr>
        <w:numPr>
          <w:ilvl w:val="0"/>
          <w:numId w:val="1005"/>
        </w:numPr>
        <w:pStyle w:val="Compact"/>
      </w:pPr>
      <w:r>
        <w:t xml:space="preserve">Leakage-aware auditing, calibration, and shifted-domain testing provide a more conservative evaluation framework.</w:t>
      </w:r>
    </w:p>
    <w:p>
      <w:pPr>
        <w:numPr>
          <w:ilvl w:val="0"/>
          <w:numId w:val="1005"/>
        </w:numPr>
        <w:pStyle w:val="Compact"/>
      </w:pPr>
      <w:r>
        <w:t xml:space="preserve">The current study is a reproducible MSc-level reliability evaluation of brain MRI tumour classification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immediate-next-steps"/>
      <w:r>
        <w:t xml:space="preserve">Immediate Next Steps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Convert citation placeholders into a final reference format after selecting a target style.</w:t>
      </w:r>
    </w:p>
    <w:p>
      <w:pPr>
        <w:numPr>
          <w:ilvl w:val="0"/>
          <w:numId w:val="1006"/>
        </w:numPr>
        <w:pStyle w:val="Compact"/>
      </w:pPr>
      <w:r>
        <w:t xml:space="preserve">Add a final reference list to the manuscript.</w:t>
      </w:r>
    </w:p>
    <w:p>
      <w:pPr>
        <w:numPr>
          <w:ilvl w:val="0"/>
          <w:numId w:val="1006"/>
        </w:numPr>
        <w:pStyle w:val="Compact"/>
      </w:pPr>
      <w:r>
        <w:t xml:space="preserve">Create data availability, code availability, and AI-use disclosure statements.</w:t>
      </w:r>
    </w:p>
    <w:p>
      <w:pPr>
        <w:numPr>
          <w:ilvl w:val="0"/>
          <w:numId w:val="1006"/>
        </w:numPr>
        <w:pStyle w:val="Compact"/>
      </w:pPr>
      <w:r>
        <w:t xml:space="preserve">Export the manuscript to DOCX or PDF for supervisor review.</w:t>
      </w:r>
    </w:p>
    <w:p>
      <w:pPr>
        <w:numPr>
          <w:ilvl w:val="0"/>
          <w:numId w:val="1006"/>
        </w:numPr>
        <w:pStyle w:val="Compact"/>
      </w:pPr>
      <w:r>
        <w:t xml:space="preserve">Ask the supervisor for methodological feedback before aiming at a journal.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2026-05-29T23:09:28Z</dcterms:created>
  <dcterms:modified xsi:type="dcterms:W3CDTF">2026-05-29T23:09:28Z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