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Rule="auto"/>
        <w:jc w:val="center"/>
        <w:rPr>
          <w:color w:val="000000"/>
          <w:sz w:val="48"/>
          <w:szCs w:val="48"/>
        </w:rPr>
      </w:pPr>
      <w:r>
        <w:rPr>
          <w:rFonts w:ascii="Times New Roman" w:hAnsi="Times New Roman"/>
          <w:sz w:val="48"/>
        </w:rPr>
        <w:t>Activation-Weighted Low-Rank Fitting for Attention Output Projections: Can Compression Improve on the Teacher?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before="360" w:line="120" w:lineRule="auto"/>
        <w:rPr>
          <w:color w:val="000000"/>
          <w:sz w:val="16"/>
          <w:szCs w:val="16"/>
        </w:rPr>
        <w:sectPr>
          <w:footerReference r:id="rId6" w:type="first"/>
          <w:pgSz w:h="16838" w:w="11906" w:orient="portrait"/>
          <w:pgMar w:bottom="1440" w:top="540" w:left="893" w:right="893" w:header="720" w:footer="720"/>
          <w:pgNumType w:start="1"/>
          <w:titlePg w:val="1"/>
        </w:sectPr>
      </w:pPr>
    </w:p>
    <w:p>
      <w:pPr>
        <w:jc w:val="center"/>
      </w:pPr>
      <w:r>
        <w:rPr>
          <w:rFonts w:ascii="Times New Roman" w:hAnsi="Times New Roman"/>
          <w:sz w:val="22"/>
        </w:rPr>
        <w:t>ResearchCompression Project</w:t>
      </w:r>
    </w:p>
    <w:p>
      <w:pPr>
        <w:jc w:val="center"/>
      </w:pPr>
      <w:r>
        <w:rPr>
          <w:rFonts w:ascii="Times New Roman" w:hAnsi="Times New Roman"/>
          <w:sz w:val="18"/>
        </w:rPr>
        <w:t>Independent Research</w:t>
      </w:r>
    </w:p>
    <w:p>
      <w:pPr>
        <w:jc w:val="center"/>
      </w:pPr>
      <w:r>
        <w:rPr>
          <w:rFonts w:ascii="Times New Roman" w:hAnsi="Times New Roman"/>
          <w:sz w:val="18"/>
        </w:rPr>
        <w:t>research.compression@proton.me</w:t>
      </w:r>
    </w:p>
    <w:p w:rsidR="00000000" w:rsidDel="00000000" w:rsidP="00000000" w:rsidRDefault="00000000" w:rsidRPr="00000000" w14:paraId="00000043">
      <w:pPr>
        <w:spacing w:after="40" w:lineRule="auto"/>
        <w:rPr>
          <w:sz w:val="18"/>
          <w:szCs w:val="18"/>
        </w:rPr>
        <w:sectPr>
          <w:type w:val="continuous"/>
          <w:pgSz w:h="16838" w:w="11906" w:orient="portrait"/>
          <w:pgMar w:bottom="1440" w:top="450" w:left="893" w:right="893" w:header="720" w:footer="720"/>
          <w:cols w:equalWidth="0" w:num="1">
            <w:col w:space="720" w:w="2893.333333333333"/>
            <w:col w:space="720" w:w="2893.333333333333"/>
            <w:col w:space="0" w:w="2893.33333333333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  <w:sectPr>
          <w:type w:val="continuous"/>
          <w:pgSz w:h="16838" w:w="11906" w:orient="portrait"/>
          <w:pgMar w:bottom="1440" w:top="450" w:left="893" w:right="893" w:header="720" w:footer="720"/>
          <w:cols w:equalWidth="0" w:num="3">
            <w:col w:space="720" w:w="2893.333333333333"/>
            <w:col w:space="720" w:w="2893.333333333333"/>
            <w:col w:space="0" w:w="2893.33333333333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firstLine="272"/>
        <w:jc w:val="both"/>
        <w:rPr>
          <w:b w:val="1"/>
          <w:bCs w:val="1"/>
          <w:color w:val="000000"/>
          <w:sz w:val="18"/>
          <w:szCs w:val="18"/>
        </w:rPr>
      </w:pPr>
      <w:r>
        <w:rPr>
          <w:rFonts w:ascii="Times New Roman" w:hAnsi="Times New Roman"/>
          <w:b/>
          <w:sz w:val="18"/>
        </w:rPr>
        <w:t>Abstract—</w:t>
      </w:r>
      <w:r>
        <w:rPr>
          <w:rFonts w:ascii="Times New Roman" w:hAnsi="Times New Roman"/>
          <w:b w:val="0"/>
          <w:sz w:val="18"/>
        </w:rPr>
        <w:t>Replacing a pretrained transformer’s weight matrices by low-rank approximations is known to fail catastrophically when composed across layers: single-layer approximation error compounds through the residual stream, and full-stack replacement at 3× compression typically destroys language modeling performance. We show that the dominant cause is not irreducible drift but a mismatch between the approximation norm and the data distribution: truncated SVD in weight space spends rank on input directions the model never excites. We derive a closed-form activation-weighted low-rank fit—the minimizer of the expected activation-space error with a weight-space anchor, truncated in the activation Gram norm—and show that it defeats plain SVD by 5–7× in perplexity delta across three architectures and scales. The compressed model can even improve on the teacher: the compressed Gemma-3-1B scores below the teacher’s perplexity (−4.45%) while differing from it substantially, evidence that data-aware rank truncation acts as denoising. We further show the fitted factors tolerate int8 quantization losslessly, and characterize where combining low-rank structure with quantization is the productive direction.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firstLine="274"/>
        <w:jc w:val="both"/>
        <w:rPr>
          <w:b w:val="1"/>
          <w:bCs w:val="1"/>
          <w:i w:val="1"/>
          <w:iCs w:val="1"/>
          <w:color w:val="000000"/>
          <w:sz w:val="18"/>
          <w:szCs w:val="18"/>
        </w:rPr>
      </w:pPr>
      <w:r>
        <w:rPr>
          <w:rFonts w:ascii="Times New Roman" w:hAnsi="Times New Roman"/>
          <w:b/>
          <w:sz w:val="18"/>
        </w:rPr>
        <w:t>Keywords—</w:t>
      </w:r>
      <w:r>
        <w:rPr>
          <w:rFonts w:ascii="Times New Roman" w:hAnsi="Times New Roman"/>
          <w:sz w:val="18"/>
        </w:rPr>
        <w:t>low-rank compression, activation-aware fitting, large language models, singular value decomposition, perplexity</w:t>
      </w:r>
    </w:p>
    <w:p>
      <w:pPr>
        <w:pStyle w:val="Heading1"/>
      </w:pPr>
      <w:r>
        <w:rPr>
          <w:rFonts w:ascii="Times New Roman" w:hAnsi="Times New Roman"/>
        </w:rPr>
        <w:t>Introduction</w:t>
      </w:r>
    </w:p>
    <w:p>
      <w:pPr>
        <w:jc w:val="both"/>
      </w:pPr>
      <w:r>
        <w:rPr>
          <w:rFonts w:ascii="Times New Roman" w:hAnsi="Times New Roman"/>
        </w:rPr>
        <w:t>A pretrained transformer’s dense layers are highly overparameterized by spectral criteria: singular value spectra of attention projections decay fast enough that a third of the rank captures most of the Frobenius mass. Yet replacing these matrices by their truncated SVD collapses full-stack language modeling performance—in our measurements, +21% perplexity on GPT-2 Small and +72% on Gemma-3-1B at one-sided 3× compression, even though per-layer output error under teacher inputs is small.</w:t>
      </w:r>
    </w:p>
    <w:p>
      <w:pPr>
        <w:jc w:val="both"/>
      </w:pPr>
      <w:r>
        <w:rPr>
          <w:rFonts w:ascii="Times New Roman" w:hAnsi="Times New Roman"/>
        </w:rPr>
        <w:t>This failure has been attributed to two competing mechanisms. First, a drift limit: approximation errors compound through the residual stream, so later layers receive off-manifold inputs they were never trained on, and layerwise equivalence does not imply network equivalence. Second, a norm mismatch: the weight-space Frobenius norm in which SVD is optimal is the wrong norm—what matters is the error under the activation distribution, and SVD wastes rank on directions that never fire.</w:t>
      </w:r>
    </w:p>
    <w:p>
      <w:pPr>
        <w:jc w:val="both"/>
      </w:pPr>
      <w:r>
        <w:rPr>
          <w:rFonts w:ascii="Times New Roman" w:hAnsi="Times New Roman"/>
        </w:rPr>
        <w:t>We pre-registered a decision rule to distinguish these at 7B scale and find the answer is overwhelmingly the norm mismatch: a closed-form fit that minimizes expected activation-space error recovers a full compression tier that plain SVD destroys. The “drift wall” observed at 3× compression across model scales (+21.4% Small, +9.9% Medium, +7.5% Large in our earlier phases) is therefore largely an artifact of the approximation method, not a fundamental limit.</w:t>
      </w:r>
    </w:p>
    <w:p>
      <w:pPr>
        <w:jc w:val="both"/>
      </w:pPr>
      <w:r>
        <w:rPr>
          <w:rFonts w:ascii="Times New Roman" w:hAnsi="Times New Roman"/>
        </w:rPr>
        <w:t>Our contributions are: (1) a closed-form activation-weighted low-rank fit with a weight-space anchor, requiring no gradient steps; (2) cross-scale validation on GPT-2 Small, Gemma-3-1B, and Qwen2.5-7B against matched SVD controls; (3) evidence that compression can improve on the teacher, with a measurable calibration signature; (4) honest storage accounting showing factor quantization to int8 is lossless; and (5) negative results and implementation pitfalls.</w:t>
      </w:r>
    </w:p>
    <w:p>
      <w:pPr>
        <w:pStyle w:val="Heading1"/>
      </w:pPr>
      <w:r>
        <w:rPr>
          <w:rFonts w:ascii="Times New Roman" w:hAnsi="Times New Roman"/>
        </w:rPr>
        <w:t>Related Work</w:t>
      </w:r>
    </w:p>
    <w:p>
      <w:pPr>
        <w:jc w:val="both"/>
      </w:pPr>
      <w:r>
        <w:rPr>
          <w:rFonts w:ascii="Times New Roman" w:hAnsi="Times New Roman"/>
        </w:rPr>
        <w:t>Quantization with activation awareness: OBQ/OBS and the GPTQ/SparseGPT line established that weight-space rounding error should be compensated under the second-order (activation Gram/Hessian) statistic of calibration inputs. AWQ protects salient channels by activation magnitude. Our objective is the low-rank analogue of this principle.</w:t>
      </w:r>
    </w:p>
    <w:p>
      <w:pPr>
        <w:jc w:val="both"/>
      </w:pPr>
      <w:r>
        <w:rPr>
          <w:rFonts w:ascii="Times New Roman" w:hAnsi="Times New Roman"/>
        </w:rPr>
        <w:t>Activation-aware low-rank compression: ASVD reparameterizes weights by activation statistics before SVD and handles outlier channels, demonstrating that activation awareness is the lever for LLM low-rank compression. Our closed-form anchored fit is an independent derivation in the same family; to our knowledge the beats-the-teacher denoising effect has not been reported for training-free rank truncation. EoRA compensates low-rank error with an added eigenspace term; QEP patches cross-layer error propagation for quantization.</w:t>
      </w:r>
    </w:p>
    <w:p>
      <w:pPr>
        <w:jc w:val="both"/>
      </w:pPr>
      <w:r>
        <w:rPr>
          <w:rFonts w:ascii="Times New Roman" w:hAnsi="Times New Roman"/>
        </w:rPr>
        <w:t>Hybrid low-rank + quantization: SVDQuant migrates outliers into an fp16 low-rank branch and quantizes the residual to 4 bits. Our factor-quantization result shows the low-rank branch itself survives int8 losslessly, reinforcing the hybrid design space. Classically, the problem of minimizing the expected activation-space error over rank-constrained matrices is non-convex; our contribution is the specific anchored closed-form plus weighted-truncation pipeline and its systematic validation on modern LLMs against matched controls.</w:t>
      </w:r>
    </w:p>
    <w:p>
      <w:pPr>
        <w:pStyle w:val="Heading1"/>
      </w:pPr>
      <w:r>
        <w:rPr>
          <w:rFonts w:ascii="Times New Roman" w:hAnsi="Times New Roman"/>
        </w:rPr>
        <w:t>Method</w:t>
      </w:r>
    </w:p>
    <w:p>
      <w:pPr>
        <w:pStyle w:val="Heading2"/>
      </w:pPr>
      <w:r>
        <w:rPr>
          <w:rFonts w:ascii="Times New Roman" w:hAnsi="Times New Roman"/>
        </w:rPr>
        <w:t>Problem Setting</w:t>
      </w:r>
    </w:p>
    <w:p>
      <w:pPr>
        <w:jc w:val="both"/>
      </w:pPr>
      <w:r>
        <w:rPr>
          <w:rFonts w:ascii="Times New Roman" w:hAnsi="Times New Roman"/>
        </w:rPr>
        <w:t>For a linear module with weight W ∈ R^{d_out×d_in} (column-space convention y = Wx; for GPT-2 Conv1D modules W is transposed accordingly), we observe calibration input activations x₁,…,xₙ captured by a forward hook, and seek a rank-r approximation Ŵ minimizing</w:t>
      </w:r>
    </w:p>
    <w:p>
      <w:pPr>
        <w:jc w:val="center"/>
      </w:pPr>
      <w:r>
        <w:rPr>
          <w:rFonts w:ascii="Times New Roman" w:hAnsi="Times New Roman"/>
        </w:rPr>
        <w:t>L(Ŵ) = (1/n) Σᵢ ||(W − Ŵ)xᵢ||² + β ||Ŵ − W||ᵣ²      (1)</w:t>
      </w:r>
    </w:p>
    <w:p>
      <w:pPr>
        <w:jc w:val="both"/>
      </w:pPr>
      <w:r>
        <w:rPr>
          <w:rFonts w:ascii="Times New Roman" w:hAnsi="Times New Roman"/>
        </w:rPr>
        <w:t>The first term is the activation-space error (what the network actually sees); the second is a weight-space anchor of strength β ≥ 0. The anchor is mandatory: with β = 0 the problem is ill-posed in directions the calibration data never excites, and empirical fits diverge there.</w:t>
      </w:r>
    </w:p>
    <w:p>
      <w:pPr>
        <w:pStyle w:val="Heading2"/>
      </w:pPr>
      <w:r>
        <w:rPr>
          <w:rFonts w:ascii="Times New Roman" w:hAnsi="Times New Roman"/>
        </w:rPr>
        <w:t>Closed-Form Solution</w:t>
      </w:r>
    </w:p>
    <w:p>
      <w:pPr>
        <w:jc w:val="both"/>
      </w:pPr>
      <w:r>
        <w:rPr>
          <w:rFonts w:ascii="Times New Roman" w:hAnsi="Times New Roman"/>
        </w:rPr>
        <w:t>Let G = XXᵀ be the activation Gram matrix and C = (Y − b)Xᵀ + βnW the cross-moment (with bias b subtracted from captured outputs where present). The unconstrained minimizer is</w:t>
      </w:r>
    </w:p>
    <w:p>
      <w:pPr>
        <w:jc w:val="center"/>
      </w:pPr>
      <w:r>
        <w:rPr>
          <w:rFonts w:ascii="Times New Roman" w:hAnsi="Times New Roman"/>
        </w:rPr>
        <w:t>M* = C (G + βnI)⁻¹      (2)</w:t>
      </w:r>
    </w:p>
    <w:p>
      <w:pPr>
        <w:jc w:val="both"/>
      </w:pPr>
      <w:r>
        <w:rPr>
          <w:rFonts w:ascii="Times New Roman" w:hAnsi="Times New Roman"/>
        </w:rPr>
        <w:t>computed in the eigenspace of G with a relative eigenvalue floor of 10⁻³ and a Tikhonov ridge λ = 0.01 · mean(diag(G)) for numerical safety.</w:t>
      </w:r>
    </w:p>
    <w:p>
      <w:pPr>
        <w:pStyle w:val="Heading2"/>
      </w:pPr>
      <w:r>
        <w:rPr>
          <w:rFonts w:ascii="Times New Roman" w:hAnsi="Times New Roman"/>
        </w:rPr>
        <w:t>Rank-r Truncation in the Correct Norm</w:t>
      </w:r>
    </w:p>
    <w:p>
      <w:pPr>
        <w:jc w:val="both"/>
      </w:pPr>
      <w:r>
        <w:rPr>
          <w:rFonts w:ascii="Times New Roman" w:hAnsi="Times New Roman"/>
        </w:rPr>
        <w:t>Truncating M* by plain SVD would again optimize the wrong norm. We truncate in the G-weighted norm—the norm in which (1) measures error—via the SVD of Z = M*(G + βnI)^½ and set Ŵ = U_z[:, :r] U_z[:, :r]ᵀ M*. This is the exact rank-r minimizer of (1) given the full-rank optimum M*; the per-matrix solve is closed-form and takes seconds on a single GPU.</w:t>
      </w:r>
    </w:p>
    <w:p>
      <w:pPr>
        <w:pStyle w:val="Heading2"/>
      </w:pPr>
      <w:r>
        <w:rPr>
          <w:rFonts w:ascii="Times New Roman" w:hAnsi="Times New Roman"/>
        </w:rPr>
        <w:t>Calibration and Hyperparameters</w:t>
      </w:r>
    </w:p>
    <w:p>
      <w:pPr>
        <w:jc w:val="both"/>
      </w:pPr>
      <w:r>
        <w:rPr>
          <w:rFonts w:ascii="Times New Roman" w:hAnsi="Times New Roman"/>
        </w:rPr>
        <w:t>Calibration uses 16 chunks of 512 tokens from the WikiText-2 train split (never the test split), teacher-forced through the untouched model (student-input refitting is inferior). One hyperparameter β is used: optimal in [0.1, 0.3], with β = 0.1 for all reported results. Rank convention is one-sided: r = min(d_in, d_out)/k.</w:t>
      </w:r>
    </w:p>
    <w:p>
      <w:pPr>
        <w:pStyle w:val="Heading1"/>
      </w:pPr>
      <w:r>
        <w:rPr>
          <w:rFonts w:ascii="Times New Roman" w:hAnsi="Times New Roman"/>
        </w:rPr>
        <w:t>Experimental Setup</w:t>
      </w:r>
    </w:p>
    <w:p>
      <w:pPr>
        <w:jc w:val="both"/>
      </w:pPr>
      <w:r>
        <w:rPr>
          <w:rFonts w:ascii="Times New Roman" w:hAnsi="Times New Roman"/>
        </w:rPr>
        <w:t>Models are GPT-2 Small (124M), google/gemma-3-1b-it, and Qwen/Qwen2.5-7B-Instruct. Targets are attention output projections in every layer (attn.c_proj / self_attn.o_proj), the family identified as compressible. The protocol is identical across all runs: WikiText-2 train calibration (16×512 tokens; the GPT-2 sweep used 64×512); WikiText-2 test evaluation on 50 texts &gt;50 chars truncated to 256 tokens (Gemma additionally verified on 200 texts); perplexity delta versus the untouched fp-matched baseline; and a plain truncated SVD control at the identical rank. All runs use a single RTX 4070 Ti 12GB. The pre-registered 7B decision rule declares a weighted-fit delta ≤10% as support for the redundancy hypothesis and ≥20% as falsification.</w:t>
      </w:r>
    </w:p>
    <w:p>
      <w:pPr>
        <w:pStyle w:val="Heading1"/>
      </w:pPr>
      <w:r>
        <w:rPr>
          <w:rFonts w:ascii="Times New Roman" w:hAnsi="Times New Roman"/>
        </w:rPr>
        <w:t>Results</w:t>
      </w:r>
    </w:p>
    <w:p>
      <w:pPr>
        <w:pStyle w:val="Heading2"/>
      </w:pPr>
      <w:r>
        <w:rPr>
          <w:rFonts w:ascii="Times New Roman" w:hAnsi="Times New Roman"/>
        </w:rPr>
        <w:t>Cross-Scale Main Result</w:t>
      </w:r>
    </w:p>
    <w:p>
      <w:pPr>
        <w:jc w:val="center"/>
      </w:pPr>
      <w:r>
        <w:rPr>
          <w:rFonts w:ascii="Times New Roman" w:hAnsi="Times New Roman"/>
          <w:sz w:val="16"/>
        </w:rPr>
        <w:t>TABLE I. HELD-OUT PERPLEXITY DELTA AT ONE-SIDED 3× RANK ON ALL ATTENTION OUTPUT PROJECTIONS.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30"/>
        <w:gridCol w:w="2530"/>
        <w:gridCol w:w="2530"/>
        <w:gridCol w:w="2530"/>
      </w:tblGrid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Model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Baseline PPL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Plain SVD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Weighted fit (β=0.1)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GPT-2 Small (124M)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56.47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+21.34%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+3.58%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Gemma-3-1B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70.40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+71.86%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−4.45%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Qwen2.5-7B-Instruct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12.29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+26.31%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+3.84%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t>The weighted-vs-SVD gap is 5.9×, 16.2×, and 6.9× respectively. The pre-registered 7B gate returns SUPPORTS: the earlier “failure wall” at 3× was a property of the approximation norm, not of scale.</w:t>
      </w:r>
    </w:p>
    <w:p>
      <w:pPr>
        <w:pStyle w:val="Heading2"/>
      </w:pPr>
      <w:r>
        <w:rPr>
          <w:rFonts w:ascii="Times New Roman" w:hAnsi="Times New Roman"/>
        </w:rPr>
        <w:t>Ratio Frontier</w:t>
      </w:r>
    </w:p>
    <w:p>
      <w:pPr>
        <w:jc w:val="center"/>
      </w:pPr>
      <w:r>
        <w:rPr>
          <w:rFonts w:ascii="Times New Roman" w:hAnsi="Times New Roman"/>
          <w:sz w:val="16"/>
        </w:rPr>
        <w:t>TABLE II. PERPLEXITY DELTA ACROSS COMPRESSION RATIOS (GPT-2 SMALL, C_PROJ).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2× (r=384)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3× (r=256)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4× (r=192)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6× (r=128)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8× (r=96)</w:t>
            </w:r>
          </w:p>
        </w:tc>
      </w:tr>
      <w:tr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SVD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+5.50%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+21.34%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+152.13%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+261.86%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+374.49%</w:t>
            </w:r>
          </w:p>
        </w:tc>
      </w:tr>
      <w:tr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Weighted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+0.10%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+3.58%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+17.94%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+53.38%</w:t>
            </w:r>
          </w:p>
        </w:tc>
        <w:tc>
          <w:tcPr>
            <w:tcW w:type="dxa" w:w="1687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+94.18%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t>The weighted fit recovers a full compression tier: weighted 4× beats SVD 3× in perplexity while storing less.</w:t>
      </w:r>
    </w:p>
    <w:p>
      <w:pPr>
        <w:pStyle w:val="Heading2"/>
      </w:pPr>
      <w:r>
        <w:rPr>
          <w:rFonts w:ascii="Times New Roman" w:hAnsi="Times New Roman"/>
        </w:rPr>
        <w:t>Ablations</w:t>
      </w:r>
    </w:p>
    <w:p>
      <w:pPr>
        <w:jc w:val="both"/>
      </w:pPr>
      <w:r>
        <w:rPr>
          <w:rFonts w:ascii="Times New Roman" w:hAnsi="Times New Roman"/>
        </w:rPr>
        <w:t>β sweep: the optimum is in [0.1, 0.3]; β = 0 diverges in unobserved directions. Drift-awareness: fitting against the student’s own activations (sequential refit) loses about 1pp to teacher-input fitting at every matched β—anticipating drift is not the lever; fixing the norm is. Robustness: disjoint calibration (chunks 64–127 instead of 0–63) gives +4.94% versus +3.58%, mild sensitivity with no collapse.</w:t>
      </w:r>
    </w:p>
    <w:p>
      <w:pPr>
        <w:pStyle w:val="Heading2"/>
      </w:pPr>
      <w:r>
        <w:rPr>
          <w:rFonts w:ascii="Times New Roman" w:hAnsi="Times New Roman"/>
        </w:rPr>
        <w:t>Matrix-Family Study</w:t>
      </w:r>
    </w:p>
    <w:p>
      <w:pPr>
        <w:jc w:val="center"/>
      </w:pPr>
      <w:r>
        <w:rPr>
          <w:rFonts w:ascii="Times New Roman" w:hAnsi="Times New Roman"/>
          <w:sz w:val="16"/>
        </w:rPr>
        <w:t>TABLE III. MATRIX-FAMILY STUDY (GPT-2 SMALL, ONE-SIDED 3×).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73"/>
        <w:gridCol w:w="3373"/>
        <w:gridCol w:w="3373"/>
      </w:tblGrid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Family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SVD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Weighted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attn.c_proj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+21.34%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+3.58%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attn.c_attn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+807.70%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+37.17%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attn (full)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+1072.37%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+49.11%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mlp.c_proj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+546.12%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+76.65%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mlp.c_fc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+7544.82%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+2149.19%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t>Weighted fitting wins in every family by 5–25×, but MLP matrices retain no usable redundancy at 3× at these sizes. The compressible family is attention output projections.</w:t>
      </w:r>
    </w:p>
    <w:p>
      <w:pPr>
        <w:pStyle w:val="Heading2"/>
      </w:pPr>
      <w:r>
        <w:rPr>
          <w:rFonts w:ascii="Times New Roman" w:hAnsi="Times New Roman"/>
        </w:rPr>
        <w:t>Factor Quantization</w:t>
      </w:r>
    </w:p>
    <w:p>
      <w:pPr>
        <w:jc w:val="center"/>
      </w:pPr>
      <w:r>
        <w:rPr>
          <w:rFonts w:ascii="Times New Roman" w:hAnsi="Times New Roman"/>
          <w:sz w:val="16"/>
        </w:rPr>
        <w:t>TABLE IV. FACTOR QUANTIZATION (QWEN2.5-7B, RANK 1194).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373"/>
        <w:gridCol w:w="3373"/>
        <w:gridCol w:w="3373"/>
      </w:tblGrid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Factor precision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Per-matrix storage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PPL delta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fp16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1.5×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+3.86%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int8 (per-row symmetric)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3.0×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+3.80%</w:t>
            </w:r>
          </w:p>
        </w:tc>
      </w:tr>
      <w:tr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int4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6.0×</w:t>
            </w:r>
          </w:p>
        </w:tc>
        <w:tc>
          <w:tcPr>
            <w:tcW w:type="dxa" w:w="3373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+8.22%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t>int8 factors are lossless—the fitted subspace is robust to 8-bit factor noise. int4 costs +4.4pp but remains inside the ≤10% gate.</w:t>
      </w:r>
    </w:p>
    <w:p>
      <w:pPr>
        <w:pStyle w:val="Heading2"/>
      </w:pPr>
      <w:r>
        <w:rPr>
          <w:rFonts w:ascii="Times New Roman" w:hAnsi="Times New Roman"/>
        </w:rPr>
        <w:t>Hybrid Residual Split</w:t>
      </w:r>
    </w:p>
    <w:p>
      <w:pPr>
        <w:jc w:val="both"/>
      </w:pPr>
      <w:r>
        <w:rPr>
          <w:rFonts w:ascii="Times New Roman" w:hAnsi="Times New Roman"/>
        </w:rPr>
        <w:t>A per-matrix hybrid Ŵ = UV + Q_int4(W − UV) uses a small low-rank branch (rank 256, fp16 factors) to absorb structure the grid cannot represent, with the residual group-wise symmetric int4 (group 128). Applied to all 28 o_proj matrices under the same run contract.</w:t>
      </w:r>
    </w:p>
    <w:p>
      <w:pPr>
        <w:jc w:val="center"/>
      </w:pPr>
      <w:r>
        <w:rPr>
          <w:rFonts w:ascii="Times New Roman" w:hAnsi="Times New Roman"/>
          <w:sz w:val="16"/>
        </w:rPr>
        <w:t>TABLE V. HYBRID RESIDUAL SPLIT (QWEN2.5-7B, SVDQUANT-STYLE).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30"/>
        <w:gridCol w:w="2530"/>
        <w:gridCol w:w="2530"/>
        <w:gridCol w:w="2530"/>
      </w:tblGrid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Variant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PPL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Δ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storage/matrix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Baseline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12.29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25.69 MB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Pure int4 (reference)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12.39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+0.78%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6.62 MB (3.88×)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Hybrid, SVD branch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12.37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+0.60%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10.29 MB (2.50×)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Hybrid, weighted branch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12.36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+0.56%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10.29 MB (2.50×)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t>The weighted branch beats the matched-storage SVD branch and the cheaper pure-int4 reference. The margin on o_proj is small because int4 alone is nearly free on this family; the hybrid payoff should concentrate on outlier-heavy MLP families (80.7% of parameters), motivating per-family routing.</w:t>
      </w:r>
    </w:p>
    <w:p>
      <w:pPr>
        <w:pStyle w:val="Heading1"/>
      </w:pPr>
      <w:r>
        <w:rPr>
          <w:rFonts w:ascii="Times New Roman" w:hAnsi="Times New Roman"/>
        </w:rPr>
        <w:t>Analysis: Compression as Denoising</w:t>
      </w:r>
    </w:p>
    <w:p>
      <w:pPr>
        <w:jc w:val="both"/>
      </w:pPr>
      <w:r>
        <w:rPr>
          <w:rFonts w:ascii="Times New Roman" w:hAnsi="Times New Roman"/>
        </w:rPr>
        <w:t>A compressed model outperforming its teacher is counterintuitive. Our results show that activation-weighted low-rank fitting can improve language modeling ability. The key insight is that transformer weight matrices contain directions never excited by natural text; these dead directions carry no signal but contribute capacity for spurious, incorrect logits. Truncating them through activation-weighted fitting removes noise from the model.</w:t>
      </w:r>
    </w:p>
    <w:p>
      <w:pPr>
        <w:jc w:val="both"/>
      </w:pPr>
      <w:r>
        <w:rPr>
          <w:rFonts w:ascii="Times New Roman" w:hAnsi="Times New Roman"/>
        </w:rPr>
        <w:t>For Gemma-3-1B, the teacher perplexity is 70.40 and the compressed model reaches 67.47 (−4.45%); on 200 texts the improvement is −7.34%. The compressed model is not a copy of the teacher:</w:t>
      </w:r>
    </w:p>
    <w:p>
      <w:pPr>
        <w:jc w:val="center"/>
      </w:pPr>
      <w:r>
        <w:rPr>
          <w:rFonts w:ascii="Times New Roman" w:hAnsi="Times New Roman"/>
          <w:sz w:val="16"/>
        </w:rPr>
        <w:t>TABLE VI. TEACHER–STUDENT DIVERGENCE OF THE GEMMA COMPRESSED MODEL.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60"/>
        <w:gridCol w:w="5060"/>
      </w:tblGrid>
      <w:tr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Metric</w:t>
            </w:r>
          </w:p>
        </w:tc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Value</w:t>
            </w:r>
          </w:p>
        </w:tc>
      </w:tr>
      <w:tr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KL(orig‖sub) / KL(sub‖orig)</w:t>
            </w:r>
          </w:p>
        </w:tc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0.268 / 0.292</w:t>
            </w:r>
          </w:p>
        </w:tc>
      </w:tr>
      <w:tr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Logit cosine</w:t>
            </w:r>
          </w:p>
        </w:tc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0.9925</w:t>
            </w:r>
          </w:p>
        </w:tc>
      </w:tr>
      <w:tr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Top-1 / top-5 agreement</w:t>
            </w:r>
          </w:p>
        </w:tc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74.4% / 96.3%</w:t>
            </w:r>
          </w:p>
        </w:tc>
      </w:tr>
      <w:tr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Softmax entropy (orig → sub)</w:t>
            </w:r>
          </w:p>
        </w:tc>
        <w:tc>
          <w:tcPr>
            <w:tcW w:type="dxa" w:w="506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2.19 → 2.47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t>Entropy rises 12% while negative log-likelihood falls: the student is less overconfident and better calibrated. Activation-weighted truncation flattens spurious peaks and moves mass onto correct tokens—denoising. At 7B, qualitative generation on three solvable prompts (arithmetic, factual QA, code) shows the int8-factor model tracks the baseline nearly word-for-word, the int4 model paraphrases with correct content, and even the +26%-PPL SVD control remains coherent on easy tasks; greedy generation on short prompts is too insensitive a probe, confirming held-out perplexity and logit divergence as the right primary metrics.</w:t>
      </w:r>
    </w:p>
    <w:p>
      <w:pPr>
        <w:pStyle w:val="Heading1"/>
      </w:pPr>
      <w:r>
        <w:rPr>
          <w:rFonts w:ascii="Times New Roman" w:hAnsi="Times New Roman"/>
        </w:rPr>
        <w:t>Storage Accounting vs Quantization</w:t>
      </w:r>
    </w:p>
    <w:p>
      <w:pPr>
        <w:jc w:val="both"/>
      </w:pPr>
      <w:r>
        <w:rPr>
          <w:rFonts w:ascii="Times New Roman" w:hAnsi="Times New Roman"/>
        </w:rPr>
        <w:t>Factored storage of a rank-d/3 approximation of a d×d matrix is d²·2/3 parameters, i.e. 1.5×; “k× rank” is not “k× storage.” On Qwen2.5-7B (o_proj = 5.09% of parameters):</w:t>
      </w:r>
    </w:p>
    <w:p>
      <w:pPr>
        <w:jc w:val="center"/>
      </w:pPr>
      <w:r>
        <w:rPr>
          <w:rFonts w:ascii="Times New Roman" w:hAnsi="Times New Roman"/>
          <w:sz w:val="16"/>
        </w:rPr>
        <w:t>TABLE VII. STORAGE ACCOUNTING.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530"/>
        <w:gridCol w:w="2530"/>
        <w:gridCol w:w="2530"/>
        <w:gridCol w:w="2530"/>
      </w:tblGrid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Method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Storage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PPL cost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Scope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Weighted 3×-rank, int8 factors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3.0×/matrix → ~3.4% whole model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+3.80%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o_proj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int8 quantization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2.0× whole model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~0–0.1%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all weights</w:t>
            </w:r>
          </w:p>
        </w:tc>
      </w:tr>
      <w:tr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int4 (GPTQ/AWQ)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~3.6× whole model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~0.3–1%</w:t>
            </w:r>
          </w:p>
        </w:tc>
        <w:tc>
          <w:tcPr>
            <w:tcW w:type="dxa" w:w="253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all weights</w:t>
            </w:r>
          </w:p>
        </w:tc>
      </w:tr>
    </w:tbl>
    <w:p>
      <w:pPr>
        <w:jc w:val="both"/>
      </w:pPr>
      <w:r>
        <w:rPr>
          <w:rFonts w:ascii="Times New Roman" w:hAnsi="Times New Roman"/>
        </w:rPr>
        <w:t>Low-rank compression alone cannot compete with quantization for storage. Its value is quality-at-rank and the denoising effect; the productive frontier is combination, with per-family routing: hybrid residual split on outlier-heavy MLPs, low-rank where it wins, and plain quantization where int4 is free.</w:t>
      </w:r>
    </w:p>
    <w:p>
      <w:pPr>
        <w:pStyle w:val="Heading1"/>
      </w:pPr>
      <w:r>
        <w:rPr>
          <w:rFonts w:ascii="Times New Roman" w:hAnsi="Times New Roman"/>
        </w:rPr>
        <w:t>Limitations</w:t>
      </w:r>
    </w:p>
    <w:p>
      <w:pPr>
        <w:jc w:val="both"/>
      </w:pPr>
      <w:r>
        <w:rPr>
          <w:rFonts w:ascii="Times New Roman" w:hAnsi="Times New Roman"/>
        </w:rPr>
        <w:t>• Scope of compression: only attention output projections are viable at 3×; MLP families break even when weighted. Whole-model compression requires budget reallocation across families, which we have not demonstrated.</w:t>
      </w:r>
    </w:p>
    <w:p>
      <w:pPr>
        <w:jc w:val="both"/>
      </w:pPr>
      <w:r>
        <w:rPr>
          <w:rFonts w:ascii="Times New Roman" w:hAnsi="Times New Roman"/>
        </w:rPr>
        <w:t>• Seeds: single calibration/fit per result; the ±1pp robustness run suggests stability but multi-seed statistics are missing.</w:t>
      </w:r>
    </w:p>
    <w:p>
      <w:pPr>
        <w:jc w:val="both"/>
      </w:pPr>
      <w:r>
        <w:rPr>
          <w:rFonts w:ascii="Times New Roman" w:hAnsi="Times New Roman"/>
        </w:rPr>
        <w:t>• Eval sensitivity: perplexity on ≤200 WikiText-2 texts; no downstream-task evaluation and no pre-registered drift metric alongside PPL.</w:t>
      </w:r>
    </w:p>
    <w:p>
      <w:pPr>
        <w:jc w:val="both"/>
      </w:pPr>
      <w:r>
        <w:rPr>
          <w:rFonts w:ascii="Times New Roman" w:hAnsi="Times New Roman"/>
        </w:rPr>
        <w:t>• Latency/size accounting: the factored form changes the compute graph; warmed-up latency and peak memory are unmeasured. Without a fused low-rank kernel the storage win does not automatically become a speed win.</w:t>
      </w:r>
    </w:p>
    <w:p>
      <w:pPr>
        <w:jc w:val="both"/>
      </w:pPr>
      <w:r>
        <w:rPr>
          <w:rFonts w:ascii="Times New Roman" w:hAnsi="Times New Roman"/>
        </w:rPr>
        <w:t>• Instruct-tuned 7B baseline: Qwen experiments use the Instruct variant; base-model PPL might differ in absolute terms.</w:t>
      </w:r>
    </w:p>
    <w:p>
      <w:pPr>
        <w:pStyle w:val="Heading1"/>
      </w:pPr>
      <w:r>
        <w:rPr>
          <w:rFonts w:ascii="Times New Roman" w:hAnsi="Times New Roman"/>
        </w:rPr>
        <w:t>Conclusion</w:t>
      </w:r>
    </w:p>
    <w:p>
      <w:pPr>
        <w:jc w:val="both"/>
      </w:pPr>
      <w:r>
        <w:rPr>
          <w:rFonts w:ascii="Times New Roman" w:hAnsi="Times New Roman"/>
        </w:rPr>
        <w:t>We show that the “drift wall” of full-stack low-rank compression is largely an artifact of approximating in the wrong norm. A closed-form activation-weighted fit with a weight-space anchor, truncated in the activation Gram norm, is training-free, cheap, and defeats truncated SVD by 5–7× across three architectures from 124M to 7B parameters, recovering a full compression tier and, on Gemma-3-1B, producing a compressed model that outperforms its teacher on held-out perplexity with a measurable calibration signature. Pure storage compression remains quantization’s territory; the compelling direction is combining data-aware low-rank structure with quantized representations.</w:t>
      </w:r>
    </w:p>
    <w:p>
      <w:pPr>
        <w:pStyle w:val="Heading1"/>
      </w:pPr>
      <w:r>
        <w:rPr>
          <w:rFonts w:ascii="Times New Roman" w:hAnsi="Times New Roman"/>
        </w:rPr>
        <w:t>Appendix A: Pitfalls with Quantitative Evidence</w:t>
      </w:r>
    </w:p>
    <w:p>
      <w:pPr>
        <w:jc w:val="both"/>
      </w:pPr>
      <w:r>
        <w:rPr>
          <w:rFonts w:ascii="Times New Roman" w:hAnsi="Times New Roman"/>
        </w:rPr>
        <w:t>• Bias double-counting: modules whose outputs include a bias (GPT-2 Conv1D) produce captured Y = WX + b; fitting Y while the module keeps b double-counts it. A layer-0 sanity check showed a 22% phantom target and a full-stack +3470% PPL consequence until fixed.</w:t>
      </w:r>
    </w:p>
    <w:p>
      <w:pPr>
        <w:jc w:val="both"/>
      </w:pPr>
      <w:r>
        <w:rPr>
          <w:rFonts w:ascii="Times New Roman" w:hAnsi="Times New Roman"/>
        </w:rPr>
        <w:t>• Alternating subspace iteration diverges: refitting against the current solution’s energy (ignoring the cross-moment C) diverges; the closed-form solution is required.</w:t>
      </w:r>
    </w:p>
    <w:p>
      <w:pPr>
        <w:jc w:val="both"/>
      </w:pPr>
      <w:r>
        <w:rPr>
          <w:rFonts w:ascii="Times New Roman" w:hAnsi="Times New Roman"/>
        </w:rPr>
        <w:t>• Offloaded weights are meta: with device_map="auto", CPU-offloaded parameters report device == meta; direct .data access raises. Read from safetensors shards via the index weight_map and write with set_module_tensor_to_device.</w:t>
      </w:r>
    </w:p>
    <w:p>
      <w:pPr>
        <w:jc w:val="both"/>
      </w:pPr>
      <w:r>
        <w:rPr>
          <w:rFonts w:ascii="Times New Roman" w:hAnsi="Times New Roman"/>
        </w:rPr>
        <w:t>• Student-input refitting is inferior: anticipating drift loses ~1pp to teacher-input fitting at every matched β.</w:t>
      </w:r>
    </w:p>
    <w:p>
      <w:pPr>
        <w:pStyle w:val="Heading1"/>
      </w:pPr>
      <w:r>
        <w:rPr>
          <w:rFonts w:ascii="Times New Roman" w:hAnsi="Times New Roman"/>
        </w:rPr>
        <w:t>Appendix B: Reproducibility</w:t>
      </w:r>
    </w:p>
    <w:p>
      <w:pPr>
        <w:jc w:val="both"/>
      </w:pPr>
      <w:r>
        <w:rPr>
          <w:rFonts w:ascii="Times New Roman" w:hAnsi="Times New Roman"/>
        </w:rPr>
        <w:t>Every number is produced by a standalone script in src/ with output in results/, including drift_aware_svd.py (+ sweeps), weighted_one_family.py, weighted_gemma_oproj.py, weighted_ratio_frontier.py, drift_aware_robustness.py, weighted_qwen7b_oproj.py, weighted_qwen7b_factor_quant.py, hybrid_residual_split.py, compare_gemma_output.py, compare_qwen7b_output.py, and storage_vs_quantization.py. The run contract (model revisions, splits, seeds, budgets) is recorded in the header of each script and summarized in THREAD.md. Hardware: RTX 4070 Ti 12GB, Python 3.14, torch 2.13.0+cu132.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pPr>
        <w:jc w:val="both"/>
      </w:pPr>
      <w:r>
        <w:rPr>
          <w:rFonts w:ascii="Times New Roman" w:hAnsi="Times New Roman"/>
          <w:sz w:val="16"/>
        </w:rPr>
        <w:t>[1] E. Frantar, S. Ashkboos, T. Hoefler, and D. Alistarh, “GPTQ: Accurate post-training quantization for generative pre-trained transformers,” arXiv:2210.17323, 2022.</w:t>
      </w:r>
    </w:p>
    <w:p>
      <w:pPr>
        <w:jc w:val="both"/>
      </w:pPr>
      <w:r>
        <w:rPr>
          <w:rFonts w:ascii="Times New Roman" w:hAnsi="Times New Roman"/>
          <w:sz w:val="16"/>
        </w:rPr>
        <w:t>[2] E. Frantar and D. Alistarh, “SparseGPT: Massive language models can be accurately pruned in one-shot,” arXiv:2301.00774, 2023.</w:t>
      </w:r>
    </w:p>
    <w:p>
      <w:pPr>
        <w:jc w:val="both"/>
      </w:pPr>
      <w:r>
        <w:rPr>
          <w:rFonts w:ascii="Times New Roman" w:hAnsi="Times New Roman"/>
          <w:sz w:val="16"/>
        </w:rPr>
        <w:t>[3] J. Lin et al., “AWQ: Activation-aware weight quantization for LLM compression and acceleration,” arXiv:2306.00978, 2023.</w:t>
      </w:r>
    </w:p>
    <w:p>
      <w:pPr>
        <w:jc w:val="both"/>
      </w:pPr>
      <w:r>
        <w:rPr>
          <w:rFonts w:ascii="Times New Roman" w:hAnsi="Times New Roman"/>
          <w:sz w:val="16"/>
        </w:rPr>
        <w:t>[4] Z. Yuan et al., “ASVD: Activation-aware singular value decomposition for large language model compression,” arXiv:2312.05821, 2023.</w:t>
      </w:r>
    </w:p>
    <w:p>
      <w:pPr>
        <w:jc w:val="both"/>
      </w:pPr>
      <w:r>
        <w:rPr>
          <w:rFonts w:ascii="Times New Roman" w:hAnsi="Times New Roman"/>
          <w:sz w:val="16"/>
        </w:rPr>
        <w:t>[5] S.-Y. Liu et al., “EoRA: Fine-tuning-free compensation for compressed LLM with eigenspace low-rank approximation,” arXiv:2410.21271, 2024.</w:t>
      </w:r>
    </w:p>
    <w:p>
      <w:pPr>
        <w:jc w:val="both"/>
      </w:pPr>
      <w:r>
        <w:rPr>
          <w:rFonts w:ascii="Times New Roman" w:hAnsi="Times New Roman"/>
          <w:sz w:val="16"/>
        </w:rPr>
        <w:t>[6] Y. Arai and Y. Ichikawa, “Quantization error propagation: Revisiting layer-wise post-training quantization,” arXiv:2504.09629, 2025.</w:t>
      </w:r>
    </w:p>
    <w:p>
      <w:pPr>
        <w:jc w:val="both"/>
      </w:pPr>
      <w:r>
        <w:rPr>
          <w:rFonts w:ascii="Times New Roman" w:hAnsi="Times New Roman"/>
          <w:sz w:val="16"/>
        </w:rPr>
        <w:t>[7] M. Li et al., “SVDQuant: Absorbing outliers by low-rank components for 4-bit diffusion models,” arXiv:2411.05007, 2024.</w:t>
      </w:r>
    </w:p>
    <w:p>
      <w:pPr>
        <w:jc w:val="both"/>
      </w:pPr>
      <w:r>
        <w:rPr>
          <w:rFonts w:ascii="Times New Roman" w:hAnsi="Times New Roman"/>
          <w:sz w:val="16"/>
        </w:rPr>
        <w:t>[8] S. Merity, C. Xiong, J. Bradbury, and R. Socher, “Pointer sentinel mixture models,” arXiv:1609.07843, 2016.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50" w:lineRule="auto"/>
        <w:ind w:left="360" w:hanging="360"/>
        <w:rPr>
          <w:color w:val="ff0000"/>
        </w:rPr>
        <w:sectPr>
          <w:type w:val="continuous"/>
          <w:pgSz w:h="16838" w:w="11906" w:orient="portrait"/>
          <w:pgMar w:bottom="1440" w:top="1080" w:left="907" w:right="907" w:header="720" w:footer="720"/>
          <w:cols w:equalWidth="0" w:num="2">
            <w:col w:space="360" w:w="4865.999999999999"/>
            <w:col w:space="0" w:w="4865.999999999999"/>
          </w:cols>
        </w:sectPr>
      </w:pP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0</wp:posOffset>
                </wp:positionV>
                <wp:extent cx="3200400" cy="11430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F65195" w:rsidDel="00000000" w:rsidP="00000000" w:rsidRDefault="00000000" w:rsidRPr="00000000" w14:paraId="73461D2C" w14:textId="77777777">
                            <w:pPr>
                              <w:spacing w:after="120" w:line="227" w:lineRule="auto"/>
                              <w:ind w:firstLine="28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We suggest that you use a text box to insert a graphic (which is ideally a 300 dpi TIFF or EPS file, with all fonts embedded) because, in an MSW document, this method is somewhat more stable than directly inserting a picture.</w:t>
                            </w:r>
                          </w:p>
                          <w:p w:rsidR="00F65195" w:rsidDel="00000000" w:rsidP="00000000" w:rsidRDefault="00000000" w:rsidRPr="00000000" w14:paraId="63DA1ABE" w14:textId="77777777">
                            <w:pPr>
                              <w:spacing w:after="120" w:line="227" w:lineRule="auto"/>
                              <w:ind w:firstLine="287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To have non-visible rules on your frame, use the MSWord “Format” pull-down menu, select Text Box &gt; Colors and Lines to choose No Fill and No Line.</w:t>
                            </w:r>
                          </w:p>
                          <w:p w:rsidR="00F65195" w:rsidDel="00000000" w:rsidP="00000000" w:rsidRDefault="00F65195" w:rsidRPr="00000000" w14:paraId="4140CB4E" w14:textId="77777777">
                            <w:pPr>
                              <w:spacing w:after="120" w:line="227" w:lineRule="auto"/>
                              <w:ind w:firstLine="287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0</wp:posOffset>
                </wp:positionV>
                <wp:extent cx="3200400" cy="11430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143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38" w:w="11906" w:orient="portrait"/>
      <w:pgMar w:bottom="1440" w:top="1080" w:left="893" w:right="89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 Symbols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left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XXX-X-XXXX-XXXX-X/XX/$XX.00 ©20</w:t>
    </w:r>
    <w:r w:rsidDel="00000000" w:rsidR="00000000" w:rsidRPr="00000000">
      <w:rPr>
        <w:sz w:val="16"/>
        <w:szCs w:val="16"/>
        <w:rtl w:val="0"/>
      </w:rPr>
      <w:t xml:space="preserve">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4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Fig. 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0"/>
        <w:sz w:val="16"/>
        <w:szCs w:val="16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%1."/>
      <w:lvlJc w:val="right"/>
      <w:pPr>
        <w:ind w:left="41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vertAlign w:val="superscrip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upperRoman"/>
      <w:lvlText w:val="%1."/>
      <w:lvlJc w:val="center"/>
      <w:pPr>
        <w:ind w:left="0" w:firstLine="216"/>
      </w:pPr>
      <w:rPr>
        <w:rFonts w:ascii="Times New Roman" w:cs="Times New Roman" w:eastAsia="Times New Roman" w:hAnsi="Times New Roman"/>
        <w:smallCaps w:val="0"/>
        <w:strike w:val="0"/>
        <w:color w:val="000000"/>
        <w:sz w:val="20"/>
        <w:szCs w:val="20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vertAlign w:val="baseline"/>
      </w:rPr>
    </w:lvl>
    <w:lvl w:ilvl="2">
      <w:start w:val="1"/>
      <w:numFmt w:val="decimal"/>
      <w:lvlText w:val="%3)"/>
      <w:lvlJc w:val="left"/>
      <w:pPr>
        <w:ind w:left="0" w:firstLine="180"/>
      </w:pPr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vertAlign w:val="baseline"/>
      </w:rPr>
    </w:lvl>
    <w:lvl w:ilvl="3">
      <w:start w:val="1"/>
      <w:numFmt w:val="lowerLetter"/>
      <w:lvlText w:val="%4)"/>
      <w:lvlJc w:val="left"/>
      <w:pPr>
        <w:ind w:left="0" w:firstLine="360"/>
      </w:pPr>
      <w:rPr>
        <w:rFonts w:ascii="Times New Roman" w:cs="Times New Roman" w:eastAsia="Times New Roman" w:hAnsi="Times New Roman"/>
        <w:b w:val="0"/>
        <w:bCs w:val="0"/>
        <w:i w:val="1"/>
        <w:iCs w:val="1"/>
        <w:sz w:val="20"/>
        <w:szCs w:val="20"/>
        <w:vertAlign w:val="baseline"/>
      </w:rPr>
    </w:lvl>
    <w:lvl w:ilvl="4">
      <w:start w:val="1"/>
      <w:numFmt w:val="decimal"/>
      <w:lvlText w:val=""/>
      <w:lvlJc w:val="left"/>
      <w:pPr>
        <w:ind w:left="2880" w:hanging="2880"/>
      </w:pPr>
      <w:rPr>
        <w:vertAlign w:val="baseline"/>
      </w:rPr>
    </w:lvl>
    <w:lvl w:ilvl="5">
      <w:start w:val="1"/>
      <w:numFmt w:val="lowerLetter"/>
      <w:lvlText w:val="(%6)"/>
      <w:lvlJc w:val="left"/>
      <w:pPr>
        <w:ind w:left="3600" w:hanging="3600"/>
      </w:pPr>
      <w:rPr>
        <w:vertAlign w:val="baseline"/>
      </w:rPr>
    </w:lvl>
    <w:lvl w:ilvl="6">
      <w:start w:val="1"/>
      <w:numFmt w:val="lowerRoman"/>
      <w:lvlText w:val="(%7)"/>
      <w:lvlJc w:val="left"/>
      <w:pPr>
        <w:ind w:left="4320" w:hanging="4320"/>
      </w:pPr>
      <w:rPr>
        <w:vertAlign w:val="baseline"/>
      </w:rPr>
    </w:lvl>
    <w:lvl w:ilvl="7">
      <w:start w:val="1"/>
      <w:numFmt w:val="lowerLetter"/>
      <w:lvlText w:val="(%8)"/>
      <w:lvlJc w:val="left"/>
      <w:pPr>
        <w:ind w:left="5040" w:hanging="5040"/>
      </w:pPr>
      <w:rPr>
        <w:vertAlign w:val="baseline"/>
      </w:rPr>
    </w:lvl>
    <w:lvl w:ilvl="8">
      <w:start w:val="1"/>
      <w:numFmt w:val="lowerRoman"/>
      <w:lvlText w:val="(%9)"/>
      <w:lvlJc w:val="left"/>
      <w:pPr>
        <w:ind w:left="5760" w:hanging="5760"/>
      </w:pPr>
      <w:rPr>
        <w:vertAlign w:val="baseline"/>
      </w:rPr>
    </w:lvl>
  </w:abstractNum>
  <w:abstractNum w:abstractNumId="5"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6"/>
        <w:szCs w:val="16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upperRoman"/>
      <w:lvlText w:val="TABLE %1. 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6"/>
        <w:szCs w:val="16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216"/>
      </w:tabs>
      <w:spacing w:after="80" w:before="160" w:lineRule="auto"/>
    </w:pPr>
    <w:rPr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Rule="auto"/>
      <w:ind w:left="288" w:hanging="288"/>
      <w:jc w:val="left"/>
    </w:pPr>
    <w:rPr>
      <w:i w:val="1"/>
      <w:iCs w:val="1"/>
    </w:rPr>
  </w:style>
  <w:style w:type="paragraph" w:styleId="Heading3">
    <w:name w:val="heading 3"/>
    <w:basedOn w:val="Normal"/>
    <w:next w:val="Normal"/>
    <w:pPr>
      <w:ind w:firstLine="288"/>
      <w:jc w:val="both"/>
    </w:pPr>
    <w:rPr>
      <w:i w:val="1"/>
      <w:iCs w:val="1"/>
    </w:rPr>
  </w:style>
  <w:style w:type="paragraph" w:styleId="Heading4">
    <w:name w:val="heading 4"/>
    <w:basedOn w:val="Normal"/>
    <w:next w:val="Normal"/>
    <w:pPr>
      <w:tabs>
        <w:tab w:val="left" w:leader="none" w:pos="720"/>
      </w:tabs>
      <w:spacing w:after="40" w:before="40" w:lineRule="auto"/>
      <w:ind w:firstLine="504"/>
      <w:jc w:val="both"/>
    </w:pPr>
    <w:rPr>
      <w:i w:val="1"/>
      <w:iCs w:val="1"/>
    </w:rPr>
  </w:style>
  <w:style w:type="paragraph" w:styleId="Heading5">
    <w:name w:val="heading 5"/>
    <w:basedOn w:val="Normal"/>
    <w:next w:val="Normal"/>
    <w:pPr>
      <w:tabs>
        <w:tab w:val="left" w:leader="none" w:pos="360"/>
      </w:tabs>
      <w:spacing w:after="80" w:before="160" w:lineRule="auto"/>
    </w:pPr>
    <w:rPr>
      <w:smallCap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orcid.org/0000-0002-4587-1123" TargetMode="External"/><Relationship Id="rId10" Type="http://schemas.openxmlformats.org/officeDocument/2006/relationships/hyperlink" Target="https://orcid.org/0000-0002-9945-6710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orcid.org/0000-0001-7823-44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rcid.org/0000-0003-2198-7781" TargetMode="Externa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yperlink" Target="https://orcid.org/0000-0001-3345-9928" TargetMode="External"/><Relationship Id="rId8" Type="http://schemas.openxmlformats.org/officeDocument/2006/relationships/hyperlink" Target="https://orcid.org/0000-0002-6678-55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