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E94560"/>
          <w:sz w:val="72"/>
          <w:szCs w:val="72"/>
        </w:rPr>
        <w:t xml:space="preserve">FLASHPOINT</w:t>
      </w:r>
    </w:p>
    <w:p>
      <w:pPr>
        <w:spacing w:after="200"/>
        <w:jc w:val="center"/>
      </w:pPr>
      <w:r>
        <w:rPr>
          <w:rFonts w:ascii="Arial" w:cs="Arial" w:eastAsia="Arial" w:hAnsi="Arial"/>
          <w:color w:val="555555"/>
          <w:sz w:val="32"/>
          <w:szCs w:val="32"/>
        </w:rPr>
        <w:t xml:space="preserve">Geopolitical Risk Intelligence Dashboard</w:t>
      </w:r>
    </w:p>
    <w:p>
      <w:pPr>
        <w:spacing w:after="100"/>
        <w:jc w:val="center"/>
      </w:pPr>
      <w:r>
        <w:rPr>
          <w:rFonts w:ascii="Arial" w:cs="Arial" w:eastAsia="Arial" w:hAnsi="Arial"/>
          <w:color w:val="777777"/>
          <w:sz w:val="26"/>
          <w:szCs w:val="26"/>
        </w:rPr>
        <w:t xml:space="preserve">Product Requirements Document</w:t>
      </w:r>
    </w:p>
    <w:p>
      <w:pPr>
        <w:spacing w:after="100"/>
        <w:jc w:val="center"/>
      </w:pPr>
      <w:r>
        <w:rPr>
          <w:rFonts w:ascii="Arial" w:cs="Arial" w:eastAsia="Arial" w:hAnsi="Arial"/>
          <w:color w:val="999999"/>
          <w:sz w:val="22"/>
          <w:szCs w:val="22"/>
        </w:rPr>
        <w:t xml:space="preserve">v1.0  —  March 2026</w:t>
      </w:r>
    </w:p>
    <w:p>
      <w:pPr>
        <w:pBdr>
          <w:top w:val="single" w:color="E94560" w:sz="2" w:space="8"/>
        </w:pBdr>
        <w:spacing w:after="200" w:before="600"/>
        <w:jc w:val="center"/>
      </w:pPr>
      <w:r>
        <w:rPr>
          <w:rFonts w:ascii="Arial" w:cs="Arial" w:eastAsia="Arial" w:hAnsi="Arial"/>
          <w:b/>
          <w:bCs/>
          <w:color w:val="E94560"/>
          <w:sz w:val="18"/>
          <w:szCs w:val="18"/>
        </w:rPr>
        <w:t xml:space="preserve">CONFIDENTIAL</w:t>
      </w:r>
    </w:p>
    <w:p>
      <w:r>
        <w:br w:type="page"/>
      </w:r>
    </w:p>
    <w:p>
      <w:pPr>
        <w:pStyle w:val="Heading1"/>
        <w:spacing w:after="200" w:before="360"/>
      </w:pPr>
      <w:r>
        <w:rPr>
          <w:rFonts w:ascii="Arial" w:cs="Arial" w:eastAsia="Arial" w:hAnsi="Arial"/>
          <w:b/>
          <w:bCs/>
          <w:color w:val="1A1A2E"/>
          <w:sz w:val="32"/>
          <w:szCs w:val="32"/>
        </w:rPr>
        <w:t xml:space="preserve">1. Executive Summary</w:t>
      </w:r>
    </w:p>
    <w:p>
      <w:pPr>
        <w:spacing w:after="140" w:line="300"/>
      </w:pPr>
      <w:r>
        <w:rPr>
          <w:rFonts w:ascii="Arial" w:cs="Arial" w:eastAsia="Arial" w:hAnsi="Arial"/>
          <w:color w:val="333333"/>
          <w:sz w:val="21"/>
          <w:szCs w:val="21"/>
        </w:rPr>
        <w:t xml:space="preserve">Flashpoint is a real-time geopolitical risk intelligence dashboard for traders and investors who need to understand how world events affect their assets before the market fully prices it in. It covers US stocks, crypto, futures, and commodities in a single interface.</w:t>
      </w:r>
    </w:p>
    <w:p>
      <w:pPr>
        <w:spacing w:after="140" w:line="300"/>
      </w:pPr>
      <w:r>
        <w:rPr>
          <w:rFonts w:ascii="Arial" w:cs="Arial" w:eastAsia="Arial" w:hAnsi="Arial"/>
          <w:color w:val="333333"/>
          <w:sz w:val="21"/>
          <w:szCs w:val="21"/>
        </w:rPr>
        <w:t xml:space="preserve">The product synthesizes free prediction market data (Polymarket, Kalshi), global news signals (GDELT, RSS), and a local mathematical scoring engine into a live, visual, probability-weighted threat feed. AI is called in exactly three rate-limited scenarios. Everything else runs in JavaScript with zero per-computation cost.</w:t>
      </w:r>
    </w:p>
    <w:p>
      <w:pPr>
        <w:spacing w:after="140" w:line="300"/>
      </w:pPr>
      <w:r>
        <w:rPr>
          <w:rFonts w:ascii="Arial" w:cs="Arial" w:eastAsia="Arial" w:hAnsi="Arial"/>
          <w:color w:val="333333"/>
          <w:sz w:val="21"/>
          <w:szCs w:val="21"/>
        </w:rPr>
        <w:t xml:space="preserve">The core thesis: no product currently combines prediction market probabilities, geopolitical news analysis, and asset correlation mapping for retail traders at an affordable price point. Institutional tools cost $15,000–$250,000/year. Flashpoint fills the gap for under $30/month in infrastructure costs.</w:t>
      </w:r>
    </w:p>
    <w:p>
      <w:pPr>
        <w:pStyle w:val="Heading1"/>
        <w:spacing w:after="200" w:before="360"/>
      </w:pPr>
      <w:r>
        <w:rPr>
          <w:rFonts w:ascii="Arial" w:cs="Arial" w:eastAsia="Arial" w:hAnsi="Arial"/>
          <w:b/>
          <w:bCs/>
          <w:color w:val="1A1A2E"/>
          <w:sz w:val="32"/>
          <w:szCs w:val="32"/>
        </w:rPr>
        <w:t xml:space="preserve">2. Problem Statement</w:t>
      </w:r>
    </w:p>
    <w:p>
      <w:pPr>
        <w:spacing w:after="140" w:line="300"/>
      </w:pPr>
      <w:r>
        <w:rPr>
          <w:rFonts w:ascii="Arial" w:cs="Arial" w:eastAsia="Arial" w:hAnsi="Arial"/>
          <w:color w:val="333333"/>
          <w:sz w:val="21"/>
          <w:szCs w:val="21"/>
        </w:rPr>
        <w:t xml:space="preserve">Retail traders and mid-market investors currently face a gap between manually reading news and paying for institutional research tools. There is no affordable product that takes geopolitical signals — news, prediction markets, volatility data, asset correlations — and synthesizes them into a live, scored feed with per-asset impact analysis and probability-weighted severity.</w:t>
      </w:r>
    </w:p>
    <w:p>
      <w:pPr>
        <w:spacing w:after="140" w:line="300"/>
      </w:pPr>
      <w:r>
        <w:rPr>
          <w:rFonts w:ascii="Arial" w:cs="Arial" w:eastAsia="Arial" w:hAnsi="Arial"/>
          <w:color w:val="333333"/>
          <w:sz w:val="21"/>
          <w:szCs w:val="21"/>
        </w:rPr>
        <w:t xml:space="preserve">Markets are moved by interconnected forces, not just headline news. Most traders react after price moves. Flashpoint gives structured, real-time visibility into what is building underneath the surface, with a probability attached to each threat and a clear breakdown of which specific assets are in the blast radius.</w:t>
      </w:r>
    </w:p>
    <w:p>
      <w:pPr>
        <w:pStyle w:val="Heading1"/>
        <w:spacing w:after="200" w:before="360"/>
      </w:pPr>
      <w:r>
        <w:rPr>
          <w:rFonts w:ascii="Arial" w:cs="Arial" w:eastAsia="Arial" w:hAnsi="Arial"/>
          <w:b/>
          <w:bCs/>
          <w:color w:val="1A1A2E"/>
          <w:sz w:val="32"/>
          <w:szCs w:val="32"/>
        </w:rPr>
        <w:t xml:space="preserve">3. Target Users</w:t>
      </w:r>
    </w:p>
    <w:p>
      <w:pPr>
        <w:pStyle w:val="ListParagraph"/>
        <w:numPr>
          <w:ilvl w:val="0"/>
          <w:numId w:val="2"/>
        </w:numPr>
        <w:spacing w:after="80" w:line="280"/>
      </w:pPr>
      <w:r>
        <w:rPr>
          <w:rFonts w:ascii="Arial" w:cs="Arial" w:eastAsia="Arial" w:hAnsi="Arial"/>
          <w:b/>
          <w:bCs/>
          <w:color w:val="333333"/>
          <w:sz w:val="21"/>
          <w:szCs w:val="21"/>
        </w:rPr>
        <w:t xml:space="preserve">Active retail traders: </w:t>
      </w:r>
      <w:r>
        <w:rPr>
          <w:rFonts w:ascii="Arial" w:cs="Arial" w:eastAsia="Arial" w:hAnsi="Arial"/>
          <w:color w:val="333333"/>
          <w:sz w:val="21"/>
          <w:szCs w:val="21"/>
        </w:rPr>
        <w:t xml:space="preserve">Managing multi-asset portfolios across stocks, crypto, futures, and commodities who need geopolitical context beyond price charts</w:t>
      </w:r>
    </w:p>
    <w:p>
      <w:pPr>
        <w:pStyle w:val="ListParagraph"/>
        <w:numPr>
          <w:ilvl w:val="0"/>
          <w:numId w:val="2"/>
        </w:numPr>
        <w:spacing w:after="80" w:line="280"/>
      </w:pPr>
      <w:r>
        <w:rPr>
          <w:rFonts w:ascii="Arial" w:cs="Arial" w:eastAsia="Arial" w:hAnsi="Arial"/>
          <w:b/>
          <w:bCs/>
          <w:color w:val="333333"/>
          <w:sz w:val="21"/>
          <w:szCs w:val="21"/>
        </w:rPr>
        <w:t xml:space="preserve">Independent fund managers: </w:t>
      </w:r>
      <w:r>
        <w:rPr>
          <w:rFonts w:ascii="Arial" w:cs="Arial" w:eastAsia="Arial" w:hAnsi="Arial"/>
          <w:color w:val="333333"/>
          <w:sz w:val="21"/>
          <w:szCs w:val="21"/>
        </w:rPr>
        <w:t xml:space="preserve">Running small funds or family offices without access to Bloomberg Terminal or Dataminr</w:t>
      </w:r>
    </w:p>
    <w:p>
      <w:pPr>
        <w:pStyle w:val="ListParagraph"/>
        <w:numPr>
          <w:ilvl w:val="0"/>
          <w:numId w:val="2"/>
        </w:numPr>
        <w:spacing w:after="80" w:line="280"/>
      </w:pPr>
      <w:r>
        <w:rPr>
          <w:rFonts w:ascii="Arial" w:cs="Arial" w:eastAsia="Arial" w:hAnsi="Arial"/>
          <w:b/>
          <w:bCs/>
          <w:color w:val="333333"/>
          <w:sz w:val="21"/>
          <w:szCs w:val="21"/>
        </w:rPr>
        <w:t xml:space="preserve">Crypto-native traders: </w:t>
      </w:r>
      <w:r>
        <w:rPr>
          <w:rFonts w:ascii="Arial" w:cs="Arial" w:eastAsia="Arial" w:hAnsi="Arial"/>
          <w:color w:val="333333"/>
          <w:sz w:val="21"/>
          <w:szCs w:val="21"/>
        </w:rPr>
        <w:t xml:space="preserve">Who understand prediction markets and want structured risk data overlaying their positions</w:t>
      </w:r>
    </w:p>
    <w:p>
      <w:pPr>
        <w:pStyle w:val="ListParagraph"/>
        <w:numPr>
          <w:ilvl w:val="0"/>
          <w:numId w:val="2"/>
        </w:numPr>
        <w:spacing w:after="80" w:line="280"/>
      </w:pPr>
      <w:r>
        <w:rPr>
          <w:rFonts w:ascii="Arial" w:cs="Arial" w:eastAsia="Arial" w:hAnsi="Arial"/>
          <w:b/>
          <w:bCs/>
          <w:color w:val="333333"/>
          <w:sz w:val="21"/>
          <w:szCs w:val="21"/>
        </w:rPr>
        <w:t xml:space="preserve">Macro-focused investors: </w:t>
      </w:r>
      <w:r>
        <w:rPr>
          <w:rFonts w:ascii="Arial" w:cs="Arial" w:eastAsia="Arial" w:hAnsi="Arial"/>
          <w:color w:val="333333"/>
          <w:sz w:val="21"/>
          <w:szCs w:val="21"/>
        </w:rPr>
        <w:t xml:space="preserve">Who track Fed policy, inflation, GDP, and geopolitical events as primary inputs to allocation decisions</w:t>
      </w:r>
    </w:p>
    <w:p>
      <w:pPr>
        <w:pStyle w:val="Heading1"/>
        <w:spacing w:after="200" w:before="360"/>
      </w:pPr>
      <w:r>
        <w:rPr>
          <w:rFonts w:ascii="Arial" w:cs="Arial" w:eastAsia="Arial" w:hAnsi="Arial"/>
          <w:b/>
          <w:bCs/>
          <w:color w:val="1A1A2E"/>
          <w:sz w:val="32"/>
          <w:szCs w:val="32"/>
        </w:rPr>
        <w:t xml:space="preserve">4. Seven Force Categories</w:t>
      </w:r>
    </w:p>
    <w:p>
      <w:pPr>
        <w:spacing w:after="140" w:line="300"/>
      </w:pPr>
      <w:r>
        <w:rPr>
          <w:rFonts w:ascii="Arial" w:cs="Arial" w:eastAsia="Arial" w:hAnsi="Arial"/>
          <w:color w:val="333333"/>
          <w:sz w:val="21"/>
          <w:szCs w:val="21"/>
        </w:rPr>
        <w:t xml:space="preserve">Flashpoint splits the world into seven distinct force categories because each affects assets differently and operates on a different time horizon.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4600"/>
        <w:gridCol w:w="160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Category</w:t>
            </w:r>
          </w:p>
        </w:tc>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Weight</w:t>
            </w:r>
          </w:p>
        </w:tc>
        <w:tc>
          <w:tcPr>
            <w:tcW w:type="dxa" w:w="4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What It Covers</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Time Horizon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Geopolitical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35%</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Wars, sanctions, elections, coups, territorial disputes, diplomatic breakdowns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Hours to days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Macroeconomic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25%</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Fed decisions, inflation prints, GDP, recession signals, central bank policy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Days to weeks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Sentiment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Social media fear spikes, narrative momentum, analyst consensus shifts, panic/euphoria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Minutes to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Supply Chain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Port disruptions, material shortages, shipping route closures, factory outages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Days to months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Climate/Natural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8%</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Hurricanes, droughts, energy infrastructure damage, crop failures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Weeks to months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Regulatory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N/A (sub)</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Crypto bans, export controls, antitrust, SEC enforcement, new legislation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Days to weeks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Technological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N/A (sub)</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AI breakthroughs, chip supply shocks, cyberattacks, patent disputes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Hours to weeks</w:t>
            </w:r>
          </w:p>
        </w:tc>
      </w:tr>
    </w:tbl>
    <w:p>
      <w:pPr>
        <w:spacing w:after="100"/>
      </w:pPr>
    </w:p>
    <w:p>
      <w:pPr>
        <w:spacing w:after="140" w:line="300"/>
      </w:pPr>
      <w:r>
        <w:rPr>
          <w:rFonts w:ascii="Arial" w:cs="Arial" w:eastAsia="Arial" w:hAnsi="Arial"/>
          <w:color w:val="333333"/>
          <w:sz w:val="21"/>
          <w:szCs w:val="21"/>
        </w:rPr>
        <w:t xml:space="preserve">Regulatory and Technological contribute to the global risk index through the parent categories they most affect (e.g., regulatory events affecting crypto flow through Sentiment; chip export controls flow through Geopolitical and Supply Chain).</w:t>
      </w:r>
    </w:p>
    <w:p>
      <w:pPr>
        <w:pStyle w:val="Heading1"/>
        <w:spacing w:after="200" w:before="360"/>
      </w:pPr>
      <w:r>
        <w:rPr>
          <w:rFonts w:ascii="Arial" w:cs="Arial" w:eastAsia="Arial" w:hAnsi="Arial"/>
          <w:b/>
          <w:bCs/>
          <w:color w:val="1A1A2E"/>
          <w:sz w:val="32"/>
          <w:szCs w:val="32"/>
        </w:rPr>
        <w:t xml:space="preserve">5. Data Sources — All Free Tier</w:t>
      </w:r>
    </w:p>
    <w:p>
      <w:pPr>
        <w:spacing w:after="140" w:line="300"/>
      </w:pPr>
      <w:r>
        <w:rPr>
          <w:rFonts w:ascii="Arial" w:cs="Arial" w:eastAsia="Arial" w:hAnsi="Arial"/>
          <w:color w:val="333333"/>
          <w:sz w:val="21"/>
          <w:szCs w:val="21"/>
        </w:rPr>
        <w:t xml:space="preserve">Every data source in the production stack is free or has a free tier sufficient for MVP operation. No paid API keys are required at launch.</w:t>
      </w:r>
    </w:p>
    <w:p>
      <w:pPr>
        <w:pStyle w:val="Heading2"/>
        <w:spacing w:after="140" w:before="280"/>
      </w:pPr>
      <w:r>
        <w:rPr>
          <w:rFonts w:ascii="Arial" w:cs="Arial" w:eastAsia="Arial" w:hAnsi="Arial"/>
          <w:b/>
          <w:bCs/>
          <w:color w:val="16213E"/>
          <w:sz w:val="26"/>
          <w:szCs w:val="26"/>
        </w:rPr>
        <w:t xml:space="preserve">5.1 Prediction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500"/>
        <w:gridCol w:w="700"/>
        <w:gridCol w:w="40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Rate Limit</w:t>
            </w:r>
          </w:p>
        </w:tc>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Cost</w:t>
            </w:r>
          </w:p>
        </w:tc>
        <w:tc>
          <w:tcPr>
            <w:tcW w:type="dxa" w:w="4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Use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Polymarket Gamma API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~60 req/min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Geopolitical and crypto event probabilities, price history, volume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Kalshi API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account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20 req/sec (Basic)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Macro event probabilities: Fed rates, CPI, GDP, recession, S&amp;P targets</w:t>
            </w:r>
          </w:p>
        </w:tc>
      </w:tr>
    </w:tbl>
    <w:p>
      <w:pPr>
        <w:spacing w:after="60"/>
      </w:pPr>
    </w:p>
    <w:p>
      <w:pPr>
        <w:spacing w:after="140" w:line="300"/>
      </w:pPr>
      <w:r>
        <w:rPr>
          <w:rFonts w:ascii="Arial" w:cs="Arial" w:eastAsia="Arial" w:hAnsi="Arial"/>
          <w:color w:val="333333"/>
          <w:sz w:val="21"/>
          <w:szCs w:val="21"/>
        </w:rPr>
        <w:t xml:space="preserve">Manifold Markets has been dropped. They ended real-money trading in March 2025; play-money probabilities lack the incentive alignment required for risk scoring.</w:t>
      </w:r>
    </w:p>
    <w:p>
      <w:pPr>
        <w:pStyle w:val="Heading2"/>
        <w:spacing w:after="140" w:before="280"/>
      </w:pPr>
      <w:r>
        <w:rPr>
          <w:rFonts w:ascii="Arial" w:cs="Arial" w:eastAsia="Arial" w:hAnsi="Arial"/>
          <w:b/>
          <w:bCs/>
          <w:color w:val="16213E"/>
          <w:sz w:val="26"/>
          <w:szCs w:val="26"/>
        </w:rPr>
        <w:t xml:space="preserve">5.2 News and Event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800"/>
        <w:gridCol w:w="1600"/>
        <w:gridCol w:w="22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Update Freq</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Cost</w:t>
            </w:r>
          </w:p>
        </w:tc>
        <w:tc>
          <w:tcPr>
            <w:tcW w:type="dxa" w:w="2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Use Case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GDELT Project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Every 15 min (GKG every 1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commercial OK</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Headline ingestion, article volume as velocity signal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RSS Feeds (Reuters, AP, FT, WSJ)</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Real-time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Primary headline stream alongside GDELT</w:t>
            </w:r>
          </w:p>
        </w:tc>
      </w:tr>
    </w:tbl>
    <w:p>
      <w:pPr>
        <w:pStyle w:val="Heading2"/>
        <w:spacing w:after="140" w:before="280"/>
      </w:pPr>
      <w:r>
        <w:rPr>
          <w:rFonts w:ascii="Arial" w:cs="Arial" w:eastAsia="Arial" w:hAnsi="Arial"/>
          <w:b/>
          <w:bCs/>
          <w:color w:val="16213E"/>
          <w:sz w:val="26"/>
          <w:szCs w:val="26"/>
        </w:rPr>
        <w:t xml:space="preserve">5.3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700"/>
        <w:gridCol w:w="3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Rate Limit</w:t>
            </w:r>
          </w:p>
        </w:tc>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Cost</w:t>
            </w:r>
          </w:p>
        </w:tc>
        <w:tc>
          <w:tcPr>
            <w:tcW w:type="dxa" w:w="3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Use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Alpha Vantage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API key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25 req/day (free)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Stock prices, VIX readings. Sufficient for 8–12 ticker watchlist refreshing every 60s via batch endpoint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CoinGecko Demo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account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30 req/min, 10k/mo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BTC, ETH, crypto prices</w:t>
            </w:r>
          </w:p>
        </w:tc>
      </w:tr>
    </w:tbl>
    <w:p>
      <w:pPr>
        <w:spacing w:after="60"/>
      </w:pPr>
    </w:p>
    <w:p>
      <w:pPr>
        <w:spacing w:after="140" w:line="300"/>
      </w:pPr>
      <w:r>
        <w:rPr>
          <w:rFonts w:ascii="Arial" w:cs="Arial" w:eastAsia="Arial" w:hAnsi="Arial"/>
          <w:color w:val="333333"/>
          <w:sz w:val="21"/>
          <w:szCs w:val="21"/>
        </w:rPr>
        <w:t xml:space="preserve">Alpha Vantage replaces Yahoo Finance (yfinance), which violates Yahoo’s Terms of Service and has documented reliability failures. Alpha Vantage provides a free API key with 25 requests per day — using their batch stock quotes endpoint, a single call returns data for up to 100 symbols, making 25 daily calls more than sufficient for an 8-ticker watchlist refreshing periodically. For higher refresh rates in Phase 2+, Finnhub’s free tier (60 calls/min) or Polygon.io ($29/mo) are the upgrade path.</w:t>
      </w:r>
    </w:p>
    <w:p>
      <w:pPr>
        <w:pStyle w:val="Heading2"/>
        <w:spacing w:after="140" w:before="280"/>
      </w:pPr>
      <w:r>
        <w:rPr>
          <w:rFonts w:ascii="Arial" w:cs="Arial" w:eastAsia="Arial" w:hAnsi="Arial"/>
          <w:b/>
          <w:bCs/>
          <w:color w:val="16213E"/>
          <w:sz w:val="26"/>
          <w:szCs w:val="26"/>
        </w:rPr>
        <w:t xml:space="preserve">5.4 Geopolitical Stress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700"/>
        <w:gridCol w:w="28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Update Freq</w:t>
            </w:r>
          </w:p>
        </w:tc>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Cost</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Use Case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Caldara-Iacoviello GPR Index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None (CSV download)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Daily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Replaces VIX as geopolitical stress amplifier. Academic gold standard.</w:t>
            </w:r>
          </w:p>
        </w:tc>
      </w:tr>
    </w:tbl>
    <w:p>
      <w:pPr>
        <w:spacing w:after="60"/>
      </w:pPr>
    </w:p>
    <w:p>
      <w:pPr>
        <w:spacing w:after="140" w:line="300"/>
      </w:pPr>
      <w:r>
        <w:rPr>
          <w:rFonts w:ascii="Arial" w:cs="Arial" w:eastAsia="Arial" w:hAnsi="Arial"/>
          <w:color w:val="333333"/>
          <w:sz w:val="21"/>
          <w:szCs w:val="21"/>
        </w:rPr>
        <w:t xml:space="preserve">The GPR index is published by Federal Reserve economists and is freely downloadable. Unlike VIX, which responds primarily to financial stress and earnings volatility, the GPR index tracks geopolitical risk directly and has been validated in the American Economic Review (2022). VIX and geopolitical risk are largely independent signals — VIX barely moved during Crimea, while GPR spiked. The GPR index is used as a non-multiplicative input to the global risk formula.</w:t>
      </w:r>
    </w:p>
    <w:p>
      <w:pPr>
        <w:pStyle w:val="Heading2"/>
        <w:spacing w:after="140" w:before="280"/>
      </w:pPr>
      <w:r>
        <w:rPr>
          <w:rFonts w:ascii="Arial" w:cs="Arial" w:eastAsia="Arial" w:hAnsi="Arial"/>
          <w:b/>
          <w:bCs/>
          <w:color w:val="16213E"/>
          <w:sz w:val="26"/>
          <w:szCs w:val="26"/>
        </w:rPr>
        <w:t xml:space="preserve">5.5 AI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700"/>
        <w:gridCol w:w="32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Auth</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Rate Limit (Free)</w:t>
            </w:r>
          </w:p>
        </w:tc>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Cost</w:t>
            </w:r>
          </w:p>
        </w:tc>
        <w:tc>
          <w:tcPr>
            <w:tcW w:type="dxa" w:w="3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Use Case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Google Gemini 2.5 Flash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API 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10 req/min, 250 req/day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Novel event classification, spike explanation, user-initiated deep-dive</w:t>
            </w:r>
          </w:p>
        </w:tc>
      </w:tr>
    </w:tbl>
    <w:p>
      <w:pPr>
        <w:spacing w:after="60"/>
      </w:pPr>
    </w:p>
    <w:p>
      <w:pPr>
        <w:spacing w:after="140" w:line="300"/>
      </w:pPr>
      <w:r>
        <w:rPr>
          <w:rFonts w:ascii="Arial" w:cs="Arial" w:eastAsia="Arial" w:hAnsi="Arial"/>
          <w:color w:val="333333"/>
          <w:sz w:val="21"/>
          <w:szCs w:val="21"/>
        </w:rPr>
        <w:t xml:space="preserve">AI is called in exactly three scenarios, all rate-limited. Estimated daily call volume for MVP: 30–80 calls. The free tier’s 250 req/day ceiling is sufficient. Tier 1 pay-as-you-go ($0.30/M input tokens) is the Phase 2 upgrade if needed.</w:t>
      </w:r>
    </w:p>
    <w:p>
      <w:r>
        <w:br w:type="page"/>
      </w:r>
    </w:p>
    <w:p>
      <w:pPr>
        <w:pStyle w:val="Heading1"/>
        <w:spacing w:after="200" w:before="360"/>
      </w:pPr>
      <w:r>
        <w:rPr>
          <w:rFonts w:ascii="Arial" w:cs="Arial" w:eastAsia="Arial" w:hAnsi="Arial"/>
          <w:b/>
          <w:bCs/>
          <w:color w:val="1A1A2E"/>
          <w:sz w:val="32"/>
          <w:szCs w:val="32"/>
        </w:rPr>
        <w:t xml:space="preserve">6. Local Scoring Engine</w:t>
      </w:r>
    </w:p>
    <w:p>
      <w:pPr>
        <w:spacing w:after="140" w:line="300"/>
      </w:pPr>
      <w:r>
        <w:rPr>
          <w:rFonts w:ascii="Arial" w:cs="Arial" w:eastAsia="Arial" w:hAnsi="Arial"/>
          <w:color w:val="333333"/>
          <w:sz w:val="21"/>
          <w:szCs w:val="21"/>
        </w:rPr>
        <w:t xml:space="preserve">Almost everything runs in plain JavaScript in the browser or on the server, with zero API cost per computation. The following components comprise the scoring pipeline:</w:t>
      </w:r>
    </w:p>
    <w:p>
      <w:pPr>
        <w:pStyle w:val="Heading2"/>
        <w:spacing w:after="140" w:before="280"/>
      </w:pPr>
      <w:r>
        <w:rPr>
          <w:rFonts w:ascii="Arial" w:cs="Arial" w:eastAsia="Arial" w:hAnsi="Arial"/>
          <w:b/>
          <w:bCs/>
          <w:color w:val="16213E"/>
          <w:sz w:val="26"/>
          <w:szCs w:val="26"/>
        </w:rPr>
        <w:t xml:space="preserve">6.1 Keyword Scorer</w:t>
      </w:r>
    </w:p>
    <w:p>
      <w:pPr>
        <w:spacing w:after="140" w:line="300"/>
      </w:pPr>
      <w:r>
        <w:rPr>
          <w:rFonts w:ascii="Arial" w:cs="Arial" w:eastAsia="Arial" w:hAnsi="Arial"/>
          <w:color w:val="333333"/>
          <w:sz w:val="21"/>
          <w:szCs w:val="21"/>
        </w:rPr>
        <w:t xml:space="preserve">Maintains a dictionary of ~300 terms, each with a threat weight (e.g., “nuclear” = high, “sanctions” = moderate, “tariff” = medium). Scans incoming headlines and applies asymmetric exponential recency decay:</w:t>
      </w:r>
    </w:p>
    <w:p>
      <w:pPr>
        <w:pStyle w:val="ListParagraph"/>
        <w:numPr>
          <w:ilvl w:val="0"/>
          <w:numId w:val="2"/>
        </w:numPr>
        <w:spacing w:after="80" w:line="280"/>
      </w:pPr>
      <w:r>
        <w:rPr>
          <w:rFonts w:ascii="Arial" w:cs="Arial" w:eastAsia="Arial" w:hAnsi="Arial"/>
          <w:b/>
          <w:bCs/>
          <w:color w:val="333333"/>
          <w:sz w:val="21"/>
          <w:szCs w:val="21"/>
        </w:rPr>
        <w:t xml:space="preserve">Negative events: </w:t>
      </w:r>
      <w:r>
        <w:rPr>
          <w:rFonts w:ascii="Arial" w:cs="Arial" w:eastAsia="Arial" w:hAnsi="Arial"/>
          <w:color w:val="333333"/>
          <w:sz w:val="21"/>
          <w:szCs w:val="21"/>
        </w:rPr>
        <w:t xml:space="preserve">Half-life of ~21 hours (1.5x the base 14-hour half-life)</w:t>
      </w:r>
    </w:p>
    <w:p>
      <w:pPr>
        <w:pStyle w:val="ListParagraph"/>
        <w:numPr>
          <w:ilvl w:val="0"/>
          <w:numId w:val="2"/>
        </w:numPr>
        <w:spacing w:after="80" w:line="280"/>
      </w:pPr>
      <w:r>
        <w:rPr>
          <w:rFonts w:ascii="Arial" w:cs="Arial" w:eastAsia="Arial" w:hAnsi="Arial"/>
          <w:b/>
          <w:bCs/>
          <w:color w:val="333333"/>
          <w:sz w:val="21"/>
          <w:szCs w:val="21"/>
        </w:rPr>
        <w:t xml:space="preserve">Neutral/positive events: </w:t>
      </w:r>
      <w:r>
        <w:rPr>
          <w:rFonts w:ascii="Arial" w:cs="Arial" w:eastAsia="Arial" w:hAnsi="Arial"/>
          <w:color w:val="333333"/>
          <w:sz w:val="21"/>
          <w:szCs w:val="21"/>
        </w:rPr>
        <w:t xml:space="preserve">Half-life of ~14 hours</w:t>
      </w:r>
    </w:p>
    <w:p>
      <w:pPr>
        <w:spacing w:after="140" w:line="300"/>
      </w:pPr>
      <w:r>
        <w:rPr>
          <w:rFonts w:ascii="Arial" w:cs="Arial" w:eastAsia="Arial" w:hAnsi="Arial"/>
          <w:color w:val="333333"/>
          <w:sz w:val="21"/>
          <w:szCs w:val="21"/>
        </w:rPr>
        <w:t xml:space="preserve">When the scorer returns near-zero signal on a headline, it triggers the novel event AI classification (Trigger 1), which writes new terms back into the dictionary. The system self-improves over time.</w:t>
      </w:r>
    </w:p>
    <w:p>
      <w:pPr>
        <w:pStyle w:val="Heading2"/>
        <w:spacing w:after="140" w:before="280"/>
      </w:pPr>
      <w:r>
        <w:rPr>
          <w:rFonts w:ascii="Arial" w:cs="Arial" w:eastAsia="Arial" w:hAnsi="Arial"/>
          <w:b/>
          <w:bCs/>
          <w:color w:val="16213E"/>
          <w:sz w:val="26"/>
          <w:szCs w:val="26"/>
        </w:rPr>
        <w:t xml:space="preserve">6.2 Sensitivity Matrix</w:t>
      </w:r>
    </w:p>
    <w:p>
      <w:pPr>
        <w:spacing w:after="140" w:line="300"/>
      </w:pPr>
      <w:r>
        <w:rPr>
          <w:rFonts w:ascii="Arial" w:cs="Arial" w:eastAsia="Arial" w:hAnsi="Arial"/>
          <w:color w:val="333333"/>
          <w:sz w:val="21"/>
          <w:szCs w:val="21"/>
        </w:rPr>
        <w:t xml:space="preserve">A JSON table mapping every combination of asset class and force category to a weight from 0 to 1. Encodes known real-world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60"/>
        <w:gridCol w:w="1360"/>
        <w:gridCol w:w="1360"/>
        <w:gridCol w:w="1360"/>
        <w:gridCol w:w="1360"/>
        <w:gridCol w:w="13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Asset</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Geopolitical</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Macro</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Regulatory</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Supply Chain</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Sentiment</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Climate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NVDA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0.85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0.55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0.80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0.80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0.40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BTC</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0.30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0.55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0.90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0.05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0.90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0.05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Gold</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0.90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0.85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0.15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0.10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0.50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Crude Oil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0.75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0.70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0.30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0.85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0.40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0.75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0.60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0.90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0.50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0.40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0.70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0.20</w:t>
            </w:r>
          </w:p>
        </w:tc>
      </w:tr>
    </w:tbl>
    <w:p>
      <w:pPr>
        <w:pStyle w:val="Heading2"/>
        <w:spacing w:after="140" w:before="280"/>
      </w:pPr>
      <w:r>
        <w:rPr>
          <w:rFonts w:ascii="Arial" w:cs="Arial" w:eastAsia="Arial" w:hAnsi="Arial"/>
          <w:b/>
          <w:bCs/>
          <w:color w:val="16213E"/>
          <w:sz w:val="26"/>
          <w:szCs w:val="26"/>
        </w:rPr>
        <w:t xml:space="preserve">6.3 Rolling Correlation Engine</w:t>
      </w:r>
    </w:p>
    <w:p>
      <w:pPr>
        <w:spacing w:after="140" w:line="300"/>
      </w:pPr>
      <w:r>
        <w:rPr>
          <w:rFonts w:ascii="Arial" w:cs="Arial" w:eastAsia="Arial" w:hAnsi="Arial"/>
          <w:color w:val="333333"/>
          <w:sz w:val="21"/>
          <w:szCs w:val="21"/>
        </w:rPr>
        <w:t xml:space="preserve">Replaces the originally proposed hardcoded correlation matrix. Computes 60-day rolling-window correlations from actual price data (sourced from Alpha Vantage / CoinGecko). Maintains ~50 asset pair correlations.</w:t>
      </w:r>
    </w:p>
    <w:p>
      <w:pPr>
        <w:spacing w:after="140" w:line="300"/>
      </w:pPr>
      <w:r>
        <w:rPr>
          <w:rFonts w:ascii="Arial" w:cs="Arial" w:eastAsia="Arial" w:hAnsi="Arial"/>
          <w:b/>
          <w:bCs/>
          <w:color w:val="333333"/>
          <w:sz w:val="21"/>
          <w:szCs w:val="21"/>
        </w:rPr>
        <w:t xml:space="preserve">Regime-detection trigger: </w:t>
      </w:r>
      <w:r>
        <w:rPr>
          <w:rFonts w:ascii="Arial" w:cs="Arial" w:eastAsia="Arial" w:hAnsi="Arial"/>
          <w:color w:val="333333"/>
          <w:sz w:val="21"/>
          <w:szCs w:val="21"/>
        </w:rPr>
        <w:t xml:space="preserve">If the trailing 5-day correlation for any pair exceeds the 60-day average by more than 2 standard deviations, the window compresses to 20 days. This makes the system crisis-adaptive — during market stress when correlations spike, the engine automatically shifts to recent data.</w:t>
      </w:r>
    </w:p>
    <w:p>
      <w:pPr>
        <w:spacing w:after="140" w:line="300"/>
      </w:pPr>
      <w:r>
        <w:rPr>
          <w:rFonts w:ascii="Arial" w:cs="Arial" w:eastAsia="Arial" w:hAnsi="Arial"/>
          <w:color w:val="333333"/>
          <w:sz w:val="21"/>
          <w:szCs w:val="21"/>
        </w:rPr>
        <w:t xml:space="preserve">When a threat hits a primary asset, the engine walks the correlation graph outward, multiplying the impact score by the correlation coefficient at each hop, stopping when the propagated score drops below a threshold. This produces a secondary impact list automatically.</w:t>
      </w:r>
    </w:p>
    <w:p>
      <w:pPr>
        <w:pStyle w:val="Heading2"/>
        <w:spacing w:after="140" w:before="280"/>
      </w:pPr>
      <w:r>
        <w:rPr>
          <w:rFonts w:ascii="Arial" w:cs="Arial" w:eastAsia="Arial" w:hAnsi="Arial"/>
          <w:b/>
          <w:bCs/>
          <w:color w:val="16213E"/>
          <w:sz w:val="26"/>
          <w:szCs w:val="26"/>
        </w:rPr>
        <w:t xml:space="preserve">6.4 Prediction Market Probability Layer</w:t>
      </w:r>
    </w:p>
    <w:p>
      <w:pPr>
        <w:spacing w:after="140" w:line="300"/>
      </w:pPr>
      <w:r>
        <w:rPr>
          <w:rFonts w:ascii="Arial" w:cs="Arial" w:eastAsia="Arial" w:hAnsi="Arial"/>
          <w:color w:val="333333"/>
          <w:sz w:val="21"/>
          <w:szCs w:val="21"/>
        </w:rPr>
        <w:t xml:space="preserve">Pulls real-money probability data from Polymarket and Kalshi. Each price represents the crowd’s probability expressed as a decimal. Applied corrections:</w:t>
      </w:r>
    </w:p>
    <w:p>
      <w:pPr>
        <w:pStyle w:val="ListParagraph"/>
        <w:numPr>
          <w:ilvl w:val="0"/>
          <w:numId w:val="2"/>
        </w:numPr>
        <w:spacing w:after="80" w:line="280"/>
      </w:pPr>
      <w:r>
        <w:rPr>
          <w:rFonts w:ascii="Arial" w:cs="Arial" w:eastAsia="Arial" w:hAnsi="Arial"/>
          <w:b/>
          <w:bCs/>
          <w:color w:val="333333"/>
          <w:sz w:val="21"/>
          <w:szCs w:val="21"/>
        </w:rPr>
        <w:t xml:space="preserve">Liquidity confidence tiers: </w:t>
      </w:r>
      <w:r>
        <w:rPr>
          <w:rFonts w:ascii="Arial" w:cs="Arial" w:eastAsia="Arial" w:hAnsi="Arial"/>
          <w:color w:val="333333"/>
          <w:sz w:val="21"/>
          <w:szCs w:val="21"/>
        </w:rPr>
        <w:t xml:space="preserve">High confidence (&gt;$100k volume), Medium ($10k–$100k), Low (&lt;$10k). All displayed; none filtered. Users see signal + reliability simultaneously</w:t>
      </w:r>
    </w:p>
    <w:p>
      <w:pPr>
        <w:pStyle w:val="ListParagraph"/>
        <w:numPr>
          <w:ilvl w:val="0"/>
          <w:numId w:val="2"/>
        </w:numPr>
        <w:spacing w:after="80" w:line="280"/>
      </w:pPr>
      <w:r>
        <w:rPr>
          <w:rFonts w:ascii="Arial" w:cs="Arial" w:eastAsia="Arial" w:hAnsi="Arial"/>
          <w:b/>
          <w:bCs/>
          <w:color w:val="333333"/>
          <w:sz w:val="21"/>
          <w:szCs w:val="21"/>
        </w:rPr>
        <w:t xml:space="preserve">Favorite-longshot bias correction: </w:t>
      </w:r>
      <w:r>
        <w:rPr>
          <w:rFonts w:ascii="Arial" w:cs="Arial" w:eastAsia="Arial" w:hAnsi="Arial"/>
          <w:color w:val="333333"/>
          <w:sz w:val="21"/>
          <w:szCs w:val="21"/>
        </w:rPr>
        <w:t xml:space="preserve">Mild probability compression function pulling extreme values toward the base rate, applied to contracts below the high-confidence threshold</w:t>
      </w:r>
    </w:p>
    <w:p>
      <w:pPr>
        <w:pStyle w:val="ListParagraph"/>
        <w:numPr>
          <w:ilvl w:val="0"/>
          <w:numId w:val="2"/>
        </w:numPr>
        <w:spacing w:after="80" w:line="280"/>
      </w:pPr>
      <w:r>
        <w:rPr>
          <w:rFonts w:ascii="Arial" w:cs="Arial" w:eastAsia="Arial" w:hAnsi="Arial"/>
          <w:b/>
          <w:bCs/>
          <w:color w:val="333333"/>
          <w:sz w:val="21"/>
          <w:szCs w:val="21"/>
        </w:rPr>
        <w:t xml:space="preserve">Probability velocity: </w:t>
      </w:r>
      <w:r>
        <w:rPr>
          <w:rFonts w:ascii="Arial" w:cs="Arial" w:eastAsia="Arial" w:hAnsi="Arial"/>
          <w:color w:val="333333"/>
          <w:sz w:val="21"/>
          <w:szCs w:val="21"/>
        </w:rPr>
        <w:t xml:space="preserve">24-hour and 7-day price history from Polymarket CLOB API. A threat jumping from 35% to 62% in 48 hours is different from one sitting flat at 50%. Pure math, no AI</w:t>
      </w:r>
    </w:p>
    <w:p>
      <w:pPr>
        <w:pStyle w:val="Heading2"/>
        <w:spacing w:after="140" w:before="280"/>
      </w:pPr>
      <w:r>
        <w:rPr>
          <w:rFonts w:ascii="Arial" w:cs="Arial" w:eastAsia="Arial" w:hAnsi="Arial"/>
          <w:b/>
          <w:bCs/>
          <w:color w:val="16213E"/>
          <w:sz w:val="26"/>
          <w:szCs w:val="26"/>
        </w:rPr>
        <w:t xml:space="preserve">6.5 Geopolitical Stress Amplifier (GPR Index)</w:t>
      </w:r>
    </w:p>
    <w:p>
      <w:pPr>
        <w:spacing w:after="140" w:line="300"/>
      </w:pPr>
      <w:r>
        <w:rPr>
          <w:rFonts w:ascii="Arial" w:cs="Arial" w:eastAsia="Arial" w:hAnsi="Arial"/>
          <w:color w:val="333333"/>
          <w:sz w:val="21"/>
          <w:szCs w:val="21"/>
        </w:rPr>
        <w:t xml:space="preserve">The Caldara-Iacoviello GPR index replaces VIX as the stress input. Unlike VIX, GPR directly tracks geopolitical risk and is validated by the Federal Reserve. It serves as one non-multiplicative input to the global risk index — it adjusts the geopolitical category weight, not the final composite score. This prevents false amplification during financial crises when geopolitical risk is actually low.</w:t>
      </w:r>
    </w:p>
    <w:p>
      <w:pPr>
        <w:pStyle w:val="Heading2"/>
        <w:spacing w:after="140" w:before="280"/>
      </w:pPr>
      <w:r>
        <w:rPr>
          <w:rFonts w:ascii="Arial" w:cs="Arial" w:eastAsia="Arial" w:hAnsi="Arial"/>
          <w:b/>
          <w:bCs/>
          <w:color w:val="16213E"/>
          <w:sz w:val="26"/>
          <w:szCs w:val="26"/>
        </w:rPr>
        <w:t xml:space="preserve">6.6 Source-Deduplicated Corroboration Engine</w:t>
      </w:r>
    </w:p>
    <w:p>
      <w:pPr>
        <w:spacing w:after="140" w:line="300"/>
      </w:pPr>
      <w:r>
        <w:rPr>
          <w:rFonts w:ascii="Arial" w:cs="Arial" w:eastAsia="Arial" w:hAnsi="Arial"/>
          <w:color w:val="333333"/>
          <w:sz w:val="21"/>
          <w:szCs w:val="21"/>
        </w:rPr>
        <w:t xml:space="preserve">Critical severity requires three-way confirmation within a tight time window:</w:t>
      </w:r>
    </w:p>
    <w:p>
      <w:pPr>
        <w:pStyle w:val="ListParagraph"/>
        <w:numPr>
          <w:ilvl w:val="0"/>
          <w:numId w:val="3"/>
        </w:numPr>
        <w:spacing w:after="80" w:line="280"/>
      </w:pPr>
      <w:r>
        <w:rPr>
          <w:rFonts w:ascii="Arial" w:cs="Arial" w:eastAsia="Arial" w:hAnsi="Arial"/>
          <w:color w:val="333333"/>
          <w:sz w:val="21"/>
          <w:szCs w:val="21"/>
        </w:rPr>
        <w:t xml:space="preserve">Two genuinely independent editorial sources (deduplicated by GDELT source entity metadata — 50 articles from one Reuters wire = one source, not fifty)</w:t>
      </w:r>
    </w:p>
    <w:p>
      <w:pPr>
        <w:pStyle w:val="ListParagraph"/>
        <w:numPr>
          <w:ilvl w:val="0"/>
          <w:numId w:val="3"/>
        </w:numPr>
        <w:spacing w:after="80" w:line="280"/>
      </w:pPr>
      <w:r>
        <w:rPr>
          <w:rFonts w:ascii="Arial" w:cs="Arial" w:eastAsia="Arial" w:hAnsi="Arial"/>
          <w:color w:val="333333"/>
          <w:sz w:val="21"/>
          <w:szCs w:val="21"/>
        </w:rPr>
        <w:t xml:space="preserve">Corroborating movement (≥5 points) in a relevant prediction market</w:t>
      </w:r>
    </w:p>
    <w:p>
      <w:pPr>
        <w:pStyle w:val="ListParagraph"/>
        <w:numPr>
          <w:ilvl w:val="0"/>
          <w:numId w:val="3"/>
        </w:numPr>
        <w:spacing w:after="80" w:line="280"/>
      </w:pPr>
      <w:r>
        <w:rPr>
          <w:rFonts w:ascii="Arial" w:cs="Arial" w:eastAsia="Arial" w:hAnsi="Arial"/>
          <w:color w:val="333333"/>
          <w:sz w:val="21"/>
          <w:szCs w:val="21"/>
        </w:rPr>
        <w:t xml:space="preserve">Both conditions met within 90 minutes (editorial) and 4 hours (market confirmation)</w:t>
      </w:r>
    </w:p>
    <w:p>
      <w:pPr>
        <w:spacing w:after="140" w:line="300"/>
      </w:pPr>
      <w:r>
        <w:rPr>
          <w:rFonts w:ascii="Arial" w:cs="Arial" w:eastAsia="Arial" w:hAnsi="Arial"/>
          <w:color w:val="333333"/>
          <w:sz w:val="21"/>
          <w:szCs w:val="21"/>
        </w:rPr>
        <w:t xml:space="preserve">Single-origin events are capped at High severity regardless of volume. After the corroboration window closes, events auto-decay from Critical to High as the information has been distributed to the market.</w:t>
      </w:r>
    </w:p>
    <w:p>
      <w:pPr>
        <w:pStyle w:val="Heading2"/>
        <w:spacing w:after="140" w:before="280"/>
      </w:pPr>
      <w:r>
        <w:rPr>
          <w:rFonts w:ascii="Arial" w:cs="Arial" w:eastAsia="Arial" w:hAnsi="Arial"/>
          <w:b/>
          <w:bCs/>
          <w:color w:val="16213E"/>
          <w:sz w:val="26"/>
          <w:szCs w:val="26"/>
        </w:rPr>
        <w:t xml:space="preserve">6.7 GDELT Volume Normalization</w:t>
      </w:r>
    </w:p>
    <w:p>
      <w:pPr>
        <w:spacing w:after="140" w:line="300"/>
      </w:pPr>
      <w:r>
        <w:rPr>
          <w:rFonts w:ascii="Arial" w:cs="Arial" w:eastAsia="Arial" w:hAnsi="Arial"/>
          <w:color w:val="333333"/>
          <w:sz w:val="21"/>
          <w:szCs w:val="21"/>
        </w:rPr>
        <w:t xml:space="preserve">Region-specific article counts are normalized against GDELT’s global output volume in the same interval. This prevents false positives during high-throughput events (US elections, domestic crises) where everything looks elevated. Formula: region_score = (region_articles / global_articles) * normalization_constant.</w:t>
      </w:r>
    </w:p>
    <w:p>
      <w:pPr>
        <w:pStyle w:val="Heading2"/>
        <w:spacing w:after="140" w:before="280"/>
      </w:pPr>
      <w:r>
        <w:rPr>
          <w:rFonts w:ascii="Arial" w:cs="Arial" w:eastAsia="Arial" w:hAnsi="Arial"/>
          <w:b/>
          <w:bCs/>
          <w:color w:val="16213E"/>
          <w:sz w:val="26"/>
          <w:szCs w:val="26"/>
        </w:rPr>
        <w:t xml:space="preserve">6.8 Cascade Timer</w:t>
      </w:r>
    </w:p>
    <w:p>
      <w:pPr>
        <w:spacing w:after="140" w:line="300"/>
      </w:pPr>
      <w:r>
        <w:rPr>
          <w:rFonts w:ascii="Arial" w:cs="Arial" w:eastAsia="Arial" w:hAnsi="Arial"/>
          <w:color w:val="333333"/>
          <w:sz w:val="21"/>
          <w:szCs w:val="21"/>
        </w:rPr>
        <w:t xml:space="preserve">Encodes the known average lag between a trigger event and full market repricing: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Category</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Narrative Formation</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Market Repricing</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Full Cascade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Geopolitical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Hours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1–3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1–2 weeks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Macroeconomic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Hours–days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3–7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2–4 weeks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Regulatory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1–2 weeks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1–3 months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Climate/Agricultural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Days–weeks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2–4 weeks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1–6 months</w:t>
            </w:r>
          </w:p>
        </w:tc>
      </w:tr>
    </w:tbl>
    <w:p>
      <w:pPr>
        <w:pStyle w:val="Heading2"/>
        <w:spacing w:after="140" w:before="280"/>
      </w:pPr>
      <w:r>
        <w:rPr>
          <w:rFonts w:ascii="Arial" w:cs="Arial" w:eastAsia="Arial" w:hAnsi="Arial"/>
          <w:b/>
          <w:bCs/>
          <w:color w:val="16213E"/>
          <w:sz w:val="26"/>
          <w:szCs w:val="26"/>
        </w:rPr>
        <w:t xml:space="preserve">6.9 Global Risk Index</w:t>
      </w:r>
    </w:p>
    <w:p>
      <w:pPr>
        <w:spacing w:after="140" w:line="300"/>
      </w:pPr>
      <w:r>
        <w:rPr>
          <w:rFonts w:ascii="Arial" w:cs="Arial" w:eastAsia="Arial" w:hAnsi="Arial"/>
          <w:color w:val="333333"/>
          <w:sz w:val="21"/>
          <w:szCs w:val="21"/>
        </w:rPr>
        <w:t xml:space="preserve">Combines sub-scores from all seven force categories using a weighted sum (Geopolitical 35%, Macro 25%, Sentiment 20%, Supply Chain 12%, Climate 8%). The raw score passes through a sigmoid function to keep the 0–100 output from pinning at extremes. GPR index value adjusts the geopolitical category weight proportionally.</w:t>
      </w:r>
    </w:p>
    <w:p>
      <w:pPr>
        <w:pStyle w:val="Heading2"/>
        <w:spacing w:after="140" w:before="280"/>
      </w:pPr>
      <w:r>
        <w:rPr>
          <w:rFonts w:ascii="Arial" w:cs="Arial" w:eastAsia="Arial" w:hAnsi="Arial"/>
          <w:b/>
          <w:bCs/>
          <w:color w:val="16213E"/>
          <w:sz w:val="26"/>
          <w:szCs w:val="26"/>
        </w:rPr>
        <w:t xml:space="preserve">6.10 Composite Threat Score</w:t>
      </w:r>
    </w:p>
    <w:p>
      <w:pPr>
        <w:spacing w:after="140" w:line="300"/>
      </w:pPr>
      <w:r>
        <w:rPr>
          <w:rFonts w:ascii="Arial" w:cs="Arial" w:eastAsia="Arial" w:hAnsi="Arial"/>
          <w:color w:val="333333"/>
          <w:sz w:val="21"/>
          <w:szCs w:val="21"/>
        </w:rPr>
        <w:t xml:space="preserve">For any given asset and event: composite = sensitivity_matrix_score * prediction_market_probability * gpr_adjustment_factor. Example: NVDA with 0.80 sensitivity to a chip ban, 62% crowd probability, and GPR factor of 1.1 produces a composite score of ~54.6 out of 100.</w:t>
      </w:r>
    </w:p>
    <w:p>
      <w:r>
        <w:br w:type="page"/>
      </w:r>
    </w:p>
    <w:p>
      <w:pPr>
        <w:pStyle w:val="Heading1"/>
        <w:spacing w:after="200" w:before="360"/>
      </w:pPr>
      <w:r>
        <w:rPr>
          <w:rFonts w:ascii="Arial" w:cs="Arial" w:eastAsia="Arial" w:hAnsi="Arial"/>
          <w:b/>
          <w:bCs/>
          <w:color w:val="1A1A2E"/>
          <w:sz w:val="32"/>
          <w:szCs w:val="32"/>
        </w:rPr>
        <w:t xml:space="preserve">7. AI Trigger Conditions</w:t>
      </w:r>
    </w:p>
    <w:p>
      <w:pPr>
        <w:spacing w:after="140" w:line="300"/>
      </w:pPr>
      <w:r>
        <w:rPr>
          <w:rFonts w:ascii="Arial" w:cs="Arial" w:eastAsia="Arial" w:hAnsi="Arial"/>
          <w:color w:val="333333"/>
          <w:sz w:val="21"/>
          <w:szCs w:val="21"/>
        </w:rPr>
        <w:t xml:space="preserve">Only three situations trigger a Gemini API call. All are rate-limited.</w:t>
      </w:r>
    </w:p>
    <w:p>
      <w:pPr>
        <w:spacing w:after="100" w:before="200"/>
      </w:pPr>
      <w:r>
        <w:rPr>
          <w:rFonts w:ascii="Arial" w:cs="Arial" w:eastAsia="Arial" w:hAnsi="Arial"/>
          <w:b/>
          <w:bCs/>
          <w:color w:val="0F3460"/>
          <w:sz w:val="22"/>
          <w:szCs w:val="22"/>
        </w:rPr>
        <w:t xml:space="preserve">Trigger 1: Novel Event Classification</w:t>
      </w:r>
    </w:p>
    <w:p>
      <w:pPr>
        <w:spacing w:after="140" w:line="300"/>
      </w:pPr>
      <w:r>
        <w:rPr>
          <w:rFonts w:ascii="Arial" w:cs="Arial" w:eastAsia="Arial" w:hAnsi="Arial"/>
          <w:color w:val="333333"/>
          <w:sz w:val="21"/>
          <w:szCs w:val="21"/>
        </w:rPr>
        <w:t xml:space="preserve">If a headline scores near-zero because no dictionary terms match, the app has encountered a genuinely new type of event. The headline is sent to Gemini Flash for classification (category, affected assets, estimated severity). Returned terms are written back into the keyword dictionary. The system self-improves without retraining.</w:t>
      </w:r>
    </w:p>
    <w:p>
      <w:pPr>
        <w:spacing w:after="100" w:before="200"/>
      </w:pPr>
      <w:r>
        <w:rPr>
          <w:rFonts w:ascii="Arial" w:cs="Arial" w:eastAsia="Arial" w:hAnsi="Arial"/>
          <w:b/>
          <w:bCs/>
          <w:color w:val="0F3460"/>
          <w:sz w:val="22"/>
          <w:szCs w:val="22"/>
        </w:rPr>
        <w:t xml:space="preserve">Trigger 2: Score Spike Explanation</w:t>
      </w:r>
    </w:p>
    <w:p>
      <w:pPr>
        <w:spacing w:after="140" w:line="300"/>
      </w:pPr>
      <w:r>
        <w:rPr>
          <w:rFonts w:ascii="Arial" w:cs="Arial" w:eastAsia="Arial" w:hAnsi="Arial"/>
          <w:color w:val="333333"/>
          <w:sz w:val="21"/>
          <w:szCs w:val="21"/>
        </w:rPr>
        <w:t xml:space="preserve">If the global risk index jumps &gt;15 points in one polling cycle, the top three contributing headlines are sent to Gemini with a prompt requesting a plain-English explanation. Capped at once per 30 minutes.</w:t>
      </w:r>
    </w:p>
    <w:p>
      <w:pPr>
        <w:spacing w:after="100" w:before="200"/>
      </w:pPr>
      <w:r>
        <w:rPr>
          <w:rFonts w:ascii="Arial" w:cs="Arial" w:eastAsia="Arial" w:hAnsi="Arial"/>
          <w:b/>
          <w:bCs/>
          <w:color w:val="0F3460"/>
          <w:sz w:val="22"/>
          <w:szCs w:val="22"/>
        </w:rPr>
        <w:t xml:space="preserve">Trigger 3: User-Initiated Deep-Dive</w:t>
      </w:r>
    </w:p>
    <w:p>
      <w:pPr>
        <w:spacing w:after="140" w:line="300"/>
      </w:pPr>
      <w:r>
        <w:rPr>
          <w:rFonts w:ascii="Arial" w:cs="Arial" w:eastAsia="Arial" w:hAnsi="Arial"/>
          <w:color w:val="333333"/>
          <w:sz w:val="21"/>
          <w:szCs w:val="21"/>
        </w:rPr>
        <w:t xml:space="preserve">When a user clicks Analyze on a threat card. Generates a full narrative: what happened, why it matters to specific assets, historical precedents, scenario range. The only voluntary AI call, triggered by user intent.</w:t>
      </w:r>
    </w:p>
    <w:p>
      <w:pPr>
        <w:pStyle w:val="Heading1"/>
        <w:spacing w:after="200" w:before="360"/>
      </w:pPr>
      <w:r>
        <w:rPr>
          <w:rFonts w:ascii="Arial" w:cs="Arial" w:eastAsia="Arial" w:hAnsi="Arial"/>
          <w:b/>
          <w:bCs/>
          <w:color w:val="1A1A2E"/>
          <w:sz w:val="32"/>
          <w:szCs w:val="32"/>
        </w:rPr>
        <w:t xml:space="preserve">8. User Interface Specification</w:t>
      </w:r>
    </w:p>
    <w:p>
      <w:pPr>
        <w:pStyle w:val="Heading2"/>
        <w:spacing w:after="140" w:before="280"/>
      </w:pPr>
      <w:r>
        <w:rPr>
          <w:rFonts w:ascii="Arial" w:cs="Arial" w:eastAsia="Arial" w:hAnsi="Arial"/>
          <w:b/>
          <w:bCs/>
          <w:color w:val="16213E"/>
          <w:sz w:val="26"/>
          <w:szCs w:val="26"/>
        </w:rPr>
        <w:t xml:space="preserve">8.1 Layout</w:t>
      </w:r>
    </w:p>
    <w:p>
      <w:pPr>
        <w:spacing w:after="140" w:line="300"/>
      </w:pPr>
      <w:r>
        <w:rPr>
          <w:rFonts w:ascii="Arial" w:cs="Arial" w:eastAsia="Arial" w:hAnsi="Arial"/>
          <w:color w:val="333333"/>
          <w:sz w:val="21"/>
          <w:szCs w:val="21"/>
        </w:rPr>
        <w:t xml:space="preserve">Three-column dashboard layout: Left panel (threat feed), Center (heatmap + detail panel), Right (probability overview + metrics). Ticker bar fixed at top. Global risk index and active threat count as headline metrics.</w:t>
      </w:r>
    </w:p>
    <w:p>
      <w:pPr>
        <w:pStyle w:val="Heading2"/>
        <w:spacing w:after="140" w:before="280"/>
      </w:pPr>
      <w:r>
        <w:rPr>
          <w:rFonts w:ascii="Arial" w:cs="Arial" w:eastAsia="Arial" w:hAnsi="Arial"/>
          <w:b/>
          <w:bCs/>
          <w:color w:val="16213E"/>
          <w:sz w:val="26"/>
          <w:szCs w:val="26"/>
        </w:rPr>
        <w:t xml:space="preserve">8.2 Threat Feed (Left Panel)</w:t>
      </w:r>
    </w:p>
    <w:p>
      <w:pPr>
        <w:pStyle w:val="ListParagraph"/>
        <w:numPr>
          <w:ilvl w:val="0"/>
          <w:numId w:val="2"/>
        </w:numPr>
        <w:spacing w:after="80" w:line="280"/>
      </w:pPr>
      <w:r>
        <w:rPr>
          <w:rFonts w:ascii="Arial" w:cs="Arial" w:eastAsia="Arial" w:hAnsi="Arial"/>
          <w:color w:val="333333"/>
          <w:sz w:val="21"/>
          <w:szCs w:val="21"/>
        </w:rPr>
        <w:t xml:space="preserve">Scrollable list of threat cards, color-coded by severity: Critical (red), High (amber), Medium (blue), Low (green)</w:t>
      </w:r>
    </w:p>
    <w:p>
      <w:pPr>
        <w:pStyle w:val="ListParagraph"/>
        <w:numPr>
          <w:ilvl w:val="0"/>
          <w:numId w:val="2"/>
        </w:numPr>
        <w:spacing w:after="80" w:line="280"/>
      </w:pPr>
      <w:r>
        <w:rPr>
          <w:rFonts w:ascii="Arial" w:cs="Arial" w:eastAsia="Arial" w:hAnsi="Arial"/>
          <w:color w:val="333333"/>
          <w:sz w:val="21"/>
          <w:szCs w:val="21"/>
        </w:rPr>
        <w:t xml:space="preserve">Each card shows: title, category badge, affected tickers, bearish/bullish/neutral direction, probability bar with source label and confidence tier badge, cascade layer ETA</w:t>
      </w:r>
    </w:p>
    <w:p>
      <w:pPr>
        <w:pStyle w:val="ListParagraph"/>
        <w:numPr>
          <w:ilvl w:val="0"/>
          <w:numId w:val="2"/>
        </w:numPr>
        <w:spacing w:after="80" w:line="280"/>
      </w:pPr>
      <w:r>
        <w:rPr>
          <w:rFonts w:ascii="Arial" w:cs="Arial" w:eastAsia="Arial" w:hAnsi="Arial"/>
          <w:color w:val="333333"/>
          <w:sz w:val="21"/>
          <w:szCs w:val="21"/>
        </w:rPr>
        <w:t xml:space="preserve">Filterable by asset class: Stocks, Crypto, Futures, All</w:t>
      </w:r>
    </w:p>
    <w:p>
      <w:pPr>
        <w:pStyle w:val="ListParagraph"/>
        <w:numPr>
          <w:ilvl w:val="0"/>
          <w:numId w:val="2"/>
        </w:numPr>
        <w:spacing w:after="80" w:line="280"/>
      </w:pPr>
      <w:r>
        <w:rPr>
          <w:rFonts w:ascii="Arial" w:cs="Arial" w:eastAsia="Arial" w:hAnsi="Arial"/>
          <w:color w:val="333333"/>
          <w:sz w:val="21"/>
          <w:szCs w:val="21"/>
        </w:rPr>
        <w:t xml:space="preserve">Single-source events display “Unverified” badge and cannot exceed High severity</w:t>
      </w:r>
    </w:p>
    <w:p>
      <w:pPr>
        <w:pStyle w:val="Heading2"/>
        <w:spacing w:after="140" w:before="280"/>
      </w:pPr>
      <w:r>
        <w:rPr>
          <w:rFonts w:ascii="Arial" w:cs="Arial" w:eastAsia="Arial" w:hAnsi="Arial"/>
          <w:b/>
          <w:bCs/>
          <w:color w:val="16213E"/>
          <w:sz w:val="26"/>
          <w:szCs w:val="26"/>
        </w:rPr>
        <w:t xml:space="preserve">8.3 Risk Heatmap (Center)</w:t>
      </w:r>
    </w:p>
    <w:p>
      <w:pPr>
        <w:pStyle w:val="ListParagraph"/>
        <w:numPr>
          <w:ilvl w:val="0"/>
          <w:numId w:val="2"/>
        </w:numPr>
        <w:spacing w:after="80" w:line="280"/>
      </w:pPr>
      <w:r>
        <w:rPr>
          <w:rFonts w:ascii="Arial" w:cs="Arial" w:eastAsia="Arial" w:hAnsi="Arial"/>
          <w:color w:val="333333"/>
          <w:sz w:val="21"/>
          <w:szCs w:val="21"/>
        </w:rPr>
        <w:t xml:space="preserve">Grid of 6 sector cells: Technology, Energy, Finance, Crypto, Defense, Commodities</w:t>
      </w:r>
    </w:p>
    <w:p>
      <w:pPr>
        <w:pStyle w:val="ListParagraph"/>
        <w:numPr>
          <w:ilvl w:val="0"/>
          <w:numId w:val="2"/>
        </w:numPr>
        <w:spacing w:after="80" w:line="280"/>
      </w:pPr>
      <w:r>
        <w:rPr>
          <w:rFonts w:ascii="Arial" w:cs="Arial" w:eastAsia="Arial" w:hAnsi="Arial"/>
          <w:color w:val="333333"/>
          <w:sz w:val="21"/>
          <w:szCs w:val="21"/>
        </w:rPr>
        <w:t xml:space="preserve">Each cell displays composite risk score and color-codes by severity</w:t>
      </w:r>
    </w:p>
    <w:p>
      <w:pPr>
        <w:pStyle w:val="ListParagraph"/>
        <w:numPr>
          <w:ilvl w:val="0"/>
          <w:numId w:val="2"/>
        </w:numPr>
        <w:spacing w:after="80" w:line="280"/>
      </w:pPr>
      <w:r>
        <w:rPr>
          <w:rFonts w:ascii="Arial" w:cs="Arial" w:eastAsia="Arial" w:hAnsi="Arial"/>
          <w:color w:val="333333"/>
          <w:sz w:val="21"/>
          <w:szCs w:val="21"/>
        </w:rPr>
        <w:t xml:space="preserve">Clicking a cell filters the threat feed to that sector</w:t>
      </w:r>
    </w:p>
    <w:p>
      <w:pPr>
        <w:pStyle w:val="Heading2"/>
        <w:spacing w:after="140" w:before="280"/>
      </w:pPr>
      <w:r>
        <w:rPr>
          <w:rFonts w:ascii="Arial" w:cs="Arial" w:eastAsia="Arial" w:hAnsi="Arial"/>
          <w:b/>
          <w:bCs/>
          <w:color w:val="16213E"/>
          <w:sz w:val="26"/>
          <w:szCs w:val="26"/>
        </w:rPr>
        <w:t xml:space="preserve">8.4 Probability Overview (Right Panel)</w:t>
      </w:r>
    </w:p>
    <w:p>
      <w:pPr>
        <w:pStyle w:val="ListParagraph"/>
        <w:numPr>
          <w:ilvl w:val="0"/>
          <w:numId w:val="2"/>
        </w:numPr>
        <w:spacing w:after="80" w:line="280"/>
      </w:pPr>
      <w:r>
        <w:rPr>
          <w:rFonts w:ascii="Arial" w:cs="Arial" w:eastAsia="Arial" w:hAnsi="Arial"/>
          <w:color w:val="333333"/>
          <w:sz w:val="21"/>
          <w:szCs w:val="21"/>
        </w:rPr>
        <w:t xml:space="preserve">Top 5 active threats ranked by composite probability</w:t>
      </w:r>
    </w:p>
    <w:p>
      <w:pPr>
        <w:pStyle w:val="ListParagraph"/>
        <w:numPr>
          <w:ilvl w:val="0"/>
          <w:numId w:val="2"/>
        </w:numPr>
        <w:spacing w:after="80" w:line="280"/>
      </w:pPr>
      <w:r>
        <w:rPr>
          <w:rFonts w:ascii="Arial" w:cs="Arial" w:eastAsia="Arial" w:hAnsi="Arial"/>
          <w:color w:val="333333"/>
          <w:sz w:val="21"/>
          <w:szCs w:val="21"/>
        </w:rPr>
        <w:t xml:space="preserve">Each shows probability bar, source platform, confidence tier badge, 24-hour delta</w:t>
      </w:r>
    </w:p>
    <w:p>
      <w:pPr>
        <w:pStyle w:val="Heading2"/>
        <w:spacing w:after="140" w:before="280"/>
      </w:pPr>
      <w:r>
        <w:rPr>
          <w:rFonts w:ascii="Arial" w:cs="Arial" w:eastAsia="Arial" w:hAnsi="Arial"/>
          <w:b/>
          <w:bCs/>
          <w:color w:val="16213E"/>
          <w:sz w:val="26"/>
          <w:szCs w:val="26"/>
        </w:rPr>
        <w:t xml:space="preserve">8.5 Ticker Bar (Top)</w:t>
      </w:r>
    </w:p>
    <w:p>
      <w:pPr>
        <w:pStyle w:val="ListParagraph"/>
        <w:numPr>
          <w:ilvl w:val="0"/>
          <w:numId w:val="2"/>
        </w:numPr>
        <w:spacing w:after="80" w:line="280"/>
      </w:pPr>
      <w:r>
        <w:rPr>
          <w:rFonts w:ascii="Arial" w:cs="Arial" w:eastAsia="Arial" w:hAnsi="Arial"/>
          <w:color w:val="333333"/>
          <w:sz w:val="21"/>
          <w:szCs w:val="21"/>
        </w:rPr>
        <w:t xml:space="preserve">Live prices and % changes for: SPY, QQQ, BTC, ETH, Gold, Crude Oil, TSLA, NVDA</w:t>
      </w:r>
    </w:p>
    <w:p>
      <w:pPr>
        <w:pStyle w:val="ListParagraph"/>
        <w:numPr>
          <w:ilvl w:val="0"/>
          <w:numId w:val="2"/>
        </w:numPr>
        <w:spacing w:after="80" w:line="280"/>
      </w:pPr>
      <w:r>
        <w:rPr>
          <w:rFonts w:ascii="Arial" w:cs="Arial" w:eastAsia="Arial" w:hAnsi="Arial"/>
          <w:color w:val="333333"/>
          <w:sz w:val="21"/>
          <w:szCs w:val="21"/>
        </w:rPr>
        <w:t xml:space="preserve">Source: Alpha Vantage (stocks) + CoinGecko (crypto)</w:t>
      </w:r>
    </w:p>
    <w:p>
      <w:pPr>
        <w:pStyle w:val="ListParagraph"/>
        <w:numPr>
          <w:ilvl w:val="0"/>
          <w:numId w:val="2"/>
        </w:numPr>
        <w:spacing w:after="80" w:line="280"/>
      </w:pPr>
      <w:r>
        <w:rPr>
          <w:rFonts w:ascii="Arial" w:cs="Arial" w:eastAsia="Arial" w:hAnsi="Arial"/>
          <w:color w:val="333333"/>
          <w:sz w:val="21"/>
          <w:szCs w:val="21"/>
        </w:rPr>
        <w:t xml:space="preserve">Transparent degradation: stale data shows timestamp badge, not blank space</w:t>
      </w:r>
    </w:p>
    <w:p>
      <w:pPr>
        <w:pStyle w:val="Heading2"/>
        <w:spacing w:after="140" w:before="280"/>
      </w:pPr>
      <w:r>
        <w:rPr>
          <w:rFonts w:ascii="Arial" w:cs="Arial" w:eastAsia="Arial" w:hAnsi="Arial"/>
          <w:b/>
          <w:bCs/>
          <w:color w:val="16213E"/>
          <w:sz w:val="26"/>
          <w:szCs w:val="26"/>
        </w:rPr>
        <w:t xml:space="preserve">8.6 Detail Panel</w:t>
      </w:r>
    </w:p>
    <w:p>
      <w:pPr>
        <w:pStyle w:val="ListParagraph"/>
        <w:numPr>
          <w:ilvl w:val="0"/>
          <w:numId w:val="2"/>
        </w:numPr>
        <w:spacing w:after="80" w:line="280"/>
      </w:pPr>
      <w:r>
        <w:rPr>
          <w:rFonts w:ascii="Arial" w:cs="Arial" w:eastAsia="Arial" w:hAnsi="Arial"/>
          <w:color w:val="333333"/>
          <w:sz w:val="21"/>
          <w:szCs w:val="21"/>
        </w:rPr>
        <w:t xml:space="preserve">Opens on threat card click. Shows severity, probability + source, timeframe, summary, asset implications, affected asset list</w:t>
      </w:r>
    </w:p>
    <w:p>
      <w:pPr>
        <w:pStyle w:val="ListParagraph"/>
        <w:numPr>
          <w:ilvl w:val="0"/>
          <w:numId w:val="2"/>
        </w:numPr>
        <w:spacing w:after="80" w:line="280"/>
      </w:pPr>
      <w:r>
        <w:rPr>
          <w:rFonts w:ascii="Arial" w:cs="Arial" w:eastAsia="Arial" w:hAnsi="Arial"/>
          <w:color w:val="333333"/>
          <w:sz w:val="21"/>
          <w:szCs w:val="21"/>
        </w:rPr>
        <w:t xml:space="preserve">Analyze button triggers AI deep-dive (Trigger 3)</w:t>
      </w:r>
    </w:p>
    <w:p>
      <w:pPr>
        <w:pStyle w:val="Heading2"/>
        <w:spacing w:after="140" w:before="280"/>
      </w:pPr>
      <w:r>
        <w:rPr>
          <w:rFonts w:ascii="Arial" w:cs="Arial" w:eastAsia="Arial" w:hAnsi="Arial"/>
          <w:b/>
          <w:bCs/>
          <w:color w:val="16213E"/>
          <w:sz w:val="26"/>
          <w:szCs w:val="26"/>
        </w:rPr>
        <w:t xml:space="preserve">8.7 Language Framing (SEC Compliance)</w:t>
      </w:r>
    </w:p>
    <w:p>
      <w:pPr>
        <w:spacing w:after="140" w:line="300"/>
      </w:pPr>
      <w:r>
        <w:rPr>
          <w:rFonts w:ascii="Arial" w:cs="Arial" w:eastAsia="Arial" w:hAnsi="Arial"/>
          <w:color w:val="333333"/>
          <w:sz w:val="21"/>
          <w:szCs w:val="21"/>
        </w:rPr>
        <w:t xml:space="preserve">All UI copy describes geopolitical event conditions, not security-specific risk assessments. Labels read “Semiconductor supply chain disruption severity” not “NVDA threat score.” Scores are framed as event severity, not investment advice. Identical output for all users. No portfolio integration in MVP. Reviewed by securities attorney before launch.</w:t>
      </w:r>
    </w:p>
    <w:p>
      <w:pPr>
        <w:pStyle w:val="Heading1"/>
        <w:spacing w:after="200" w:before="360"/>
      </w:pPr>
      <w:r>
        <w:rPr>
          <w:rFonts w:ascii="Arial" w:cs="Arial" w:eastAsia="Arial" w:hAnsi="Arial"/>
          <w:b/>
          <w:bCs/>
          <w:color w:val="1A1A2E"/>
          <w:sz w:val="32"/>
          <w:szCs w:val="32"/>
        </w:rPr>
        <w:t xml:space="preserve">9. Degradation Hierarchy</w:t>
      </w:r>
    </w:p>
    <w:p>
      <w:pPr>
        <w:spacing w:after="140" w:line="300"/>
      </w:pPr>
      <w:r>
        <w:rPr>
          <w:rFonts w:ascii="Arial" w:cs="Arial" w:eastAsia="Arial" w:hAnsi="Arial"/>
          <w:color w:val="333333"/>
          <w:sz w:val="21"/>
          <w:szCs w:val="21"/>
        </w:rPr>
        <w:t xml:space="preserve">Every third-party API dependency has a defined failure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On Failure</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User Sees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Polymarket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Hold last known values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Probability column shows stale badge +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Kalshi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Hold last known values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Same stale badge treatment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GDELT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Keyword scorer runs on RSS only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Reduced confidence flag on threat cards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Alpha Vantage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Ticker bar freezes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"Delayed" indicator, not blank space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CoinGecko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Crypto tickers freeze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"Delayed" indicator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GPR Index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Hold last daily value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"Last updated: [date]" label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Gemini API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AI features disabled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Analyze button grayed: "AI temporarily unavailable"</w:t>
            </w:r>
          </w:p>
        </w:tc>
      </w:tr>
    </w:tbl>
    <w:p>
      <w:pPr>
        <w:spacing w:after="60"/>
      </w:pPr>
    </w:p>
    <w:p>
      <w:pPr>
        <w:spacing w:after="140" w:line="300"/>
      </w:pPr>
      <w:r>
        <w:rPr>
          <w:rFonts w:ascii="Arial" w:cs="Arial" w:eastAsia="Arial" w:hAnsi="Arial"/>
          <w:color w:val="333333"/>
          <w:sz w:val="21"/>
          <w:szCs w:val="21"/>
        </w:rPr>
        <w:t xml:space="preserve">The product keeps working with reduced confidence, and the user always knows what is live and what is stale. Transparent degradation, never silent staleness.</w:t>
      </w:r>
    </w:p>
    <w:p>
      <w:r>
        <w:br w:type="page"/>
      </w:r>
    </w:p>
    <w:p>
      <w:pPr>
        <w:pStyle w:val="Heading1"/>
        <w:spacing w:after="200" w:before="360"/>
      </w:pPr>
      <w:r>
        <w:rPr>
          <w:rFonts w:ascii="Arial" w:cs="Arial" w:eastAsia="Arial" w:hAnsi="Arial"/>
          <w:b/>
          <w:bCs/>
          <w:color w:val="1A1A2E"/>
          <w:sz w:val="32"/>
          <w:szCs w:val="32"/>
        </w:rPr>
        <w:t xml:space="preserve">10. Tech Stack</w:t>
      </w:r>
    </w:p>
    <w:p>
      <w:pPr>
        <w:spacing w:after="140" w:line="300"/>
      </w:pPr>
      <w:r>
        <w:rPr>
          <w:rFonts w:ascii="Arial" w:cs="Arial" w:eastAsia="Arial" w:hAnsi="Arial"/>
          <w:color w:val="333333"/>
          <w:sz w:val="21"/>
          <w:szCs w:val="21"/>
        </w:rPr>
        <w:t xml:space="preserve">Designed to run entirely within Claude artifacts (React JSX) or as a standalone Next.js application. Zero paid dependencies at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Layer</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Technology</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Frontend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React (Claude artifact / Next.js)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API Routes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Next.js API routes (server-side polling)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 (Vercel hobby)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Scoring Engine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Pure JavaScript module (no dependencies)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Data Viz</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Recharts (available in Claude artifacts)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Prediction Markets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Polymarket Gamma API + Kalshi API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News Ingestion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GDELT + RSS feeds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Market Data (Stocks)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Alpha Vantage (free API key, 25 req/day)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Market Data (Crypto)</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CoinGecko Demo (free account, 30 req/min)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Geopolitical Index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Caldara-Iacoviello GPR (CSV download)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AI Backend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Google Gemini 2.5 Flash (free tier)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Hosting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Vercel Hobby tier / Claude artifact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Database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None (in-memory state + localStorage for alerts log)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Logging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JSON file / in-memory array for hit-rate tracking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Free</w:t>
            </w:r>
          </w:p>
        </w:tc>
      </w:tr>
    </w:tbl>
    <w:p>
      <w:pPr>
        <w:pStyle w:val="Heading1"/>
        <w:spacing w:after="200" w:before="360"/>
      </w:pPr>
      <w:r>
        <w:rPr>
          <w:rFonts w:ascii="Arial" w:cs="Arial" w:eastAsia="Arial" w:hAnsi="Arial"/>
          <w:b/>
          <w:bCs/>
          <w:color w:val="1A1A2E"/>
          <w:sz w:val="32"/>
          <w:szCs w:val="32"/>
        </w:rPr>
        <w:t xml:space="preserve">11. Hit-Rate Validation System</w:t>
      </w:r>
    </w:p>
    <w:p>
      <w:pPr>
        <w:spacing w:after="140" w:line="300"/>
      </w:pPr>
      <w:r>
        <w:rPr>
          <w:rFonts w:ascii="Arial" w:cs="Arial" w:eastAsia="Arial" w:hAnsi="Arial"/>
          <w:color w:val="333333"/>
          <w:sz w:val="21"/>
          <w:szCs w:val="21"/>
        </w:rPr>
        <w:t xml:space="preserve">Built from day one, not Phase 3. Every time the system generates a threat score above 60 for a specific asset, it logs:</w:t>
      </w:r>
    </w:p>
    <w:p>
      <w:pPr>
        <w:pStyle w:val="ListParagraph"/>
        <w:numPr>
          <w:ilvl w:val="0"/>
          <w:numId w:val="2"/>
        </w:numPr>
        <w:spacing w:after="80" w:line="280"/>
      </w:pPr>
      <w:r>
        <w:rPr>
          <w:rFonts w:ascii="Arial" w:cs="Arial" w:eastAsia="Arial" w:hAnsi="Arial"/>
          <w:color w:val="333333"/>
          <w:sz w:val="21"/>
          <w:szCs w:val="21"/>
        </w:rPr>
        <w:t xml:space="preserve">Score value, timestamp, asset ticker, asset price at time of alert</w:t>
      </w:r>
    </w:p>
    <w:p>
      <w:pPr>
        <w:pStyle w:val="ListParagraph"/>
        <w:numPr>
          <w:ilvl w:val="0"/>
          <w:numId w:val="2"/>
        </w:numPr>
        <w:spacing w:after="80" w:line="280"/>
      </w:pPr>
      <w:r>
        <w:rPr>
          <w:rFonts w:ascii="Arial" w:cs="Arial" w:eastAsia="Arial" w:hAnsi="Arial"/>
          <w:color w:val="333333"/>
          <w:sz w:val="21"/>
          <w:szCs w:val="21"/>
        </w:rPr>
        <w:t xml:space="preserve">Tracks asset price change at +1h, +4h, +24h, +7d after alert</w:t>
      </w:r>
    </w:p>
    <w:p>
      <w:pPr>
        <w:spacing w:after="140" w:line="300"/>
      </w:pPr>
      <w:r>
        <w:rPr>
          <w:rFonts w:ascii="Arial" w:cs="Arial" w:eastAsia="Arial" w:hAnsi="Arial"/>
          <w:color w:val="333333"/>
          <w:sz w:val="21"/>
          <w:szCs w:val="21"/>
        </w:rPr>
        <w:t xml:space="preserve">After 60–90 days of operation, compute: what percentage of high-severity alerts were followed by a statistically significant price move in the predicted direction within the predicted timeframe?</w:t>
      </w:r>
    </w:p>
    <w:p>
      <w:pPr>
        <w:spacing w:after="140" w:line="300"/>
      </w:pPr>
      <w:r>
        <w:rPr>
          <w:rFonts w:ascii="Arial" w:cs="Arial" w:eastAsia="Arial" w:hAnsi="Arial"/>
          <w:b/>
          <w:bCs/>
          <w:color w:val="333333"/>
          <w:sz w:val="21"/>
          <w:szCs w:val="21"/>
        </w:rPr>
        <w:t xml:space="preserve">This metric is the entire product-market fit signal. </w:t>
      </w:r>
      <w:r>
        <w:rPr>
          <w:rFonts w:ascii="Arial" w:cs="Arial" w:eastAsia="Arial" w:hAnsi="Arial"/>
          <w:color w:val="333333"/>
          <w:sz w:val="21"/>
          <w:szCs w:val="21"/>
        </w:rPr>
        <w:t xml:space="preserve">Above 60% = real product. Below 40% = scoring engine needs recalibration. Either way, you need the data.</w:t>
      </w:r>
    </w:p>
    <w:p>
      <w:pPr>
        <w:pStyle w:val="Heading1"/>
        <w:spacing w:after="200" w:before="360"/>
      </w:pPr>
      <w:r>
        <w:rPr>
          <w:rFonts w:ascii="Arial" w:cs="Arial" w:eastAsia="Arial" w:hAnsi="Arial"/>
          <w:b/>
          <w:bCs/>
          <w:color w:val="1A1A2E"/>
          <w:sz w:val="32"/>
          <w:szCs w:val="32"/>
        </w:rPr>
        <w:t xml:space="preserve">12. Legal Requirements</w:t>
      </w:r>
    </w:p>
    <w:p>
      <w:pPr>
        <w:pStyle w:val="ListParagraph"/>
        <w:numPr>
          <w:ilvl w:val="0"/>
          <w:numId w:val="4"/>
        </w:numPr>
        <w:spacing w:after="80" w:line="280"/>
      </w:pPr>
      <w:r>
        <w:rPr>
          <w:rFonts w:ascii="Arial" w:cs="Arial" w:eastAsia="Arial" w:hAnsi="Arial"/>
          <w:color w:val="333333"/>
          <w:sz w:val="21"/>
          <w:szCs w:val="21"/>
        </w:rPr>
        <w:t xml:space="preserve">Securities attorney review of all UI language before launch ($2,000 budget)</w:t>
      </w:r>
    </w:p>
    <w:p>
      <w:pPr>
        <w:pStyle w:val="ListParagraph"/>
        <w:numPr>
          <w:ilvl w:val="0"/>
          <w:numId w:val="4"/>
        </w:numPr>
        <w:spacing w:after="80" w:line="280"/>
      </w:pPr>
      <w:r>
        <w:rPr>
          <w:rFonts w:ascii="Arial" w:cs="Arial" w:eastAsia="Arial" w:hAnsi="Arial"/>
          <w:color w:val="333333"/>
          <w:sz w:val="21"/>
          <w:szCs w:val="21"/>
        </w:rPr>
        <w:t xml:space="preserve">All scores framed as geopolitical event severity, never security-specific risk assessments</w:t>
      </w:r>
    </w:p>
    <w:p>
      <w:pPr>
        <w:pStyle w:val="ListParagraph"/>
        <w:numPr>
          <w:ilvl w:val="0"/>
          <w:numId w:val="4"/>
        </w:numPr>
        <w:spacing w:after="80" w:line="280"/>
      </w:pPr>
      <w:r>
        <w:rPr>
          <w:rFonts w:ascii="Arial" w:cs="Arial" w:eastAsia="Arial" w:hAnsi="Arial"/>
          <w:color w:val="333333"/>
          <w:sz w:val="21"/>
          <w:szCs w:val="21"/>
        </w:rPr>
        <w:t xml:space="preserve">Identical output for all users — no personalization, no portfolio integration in MVP</w:t>
      </w:r>
    </w:p>
    <w:p>
      <w:pPr>
        <w:pStyle w:val="ListParagraph"/>
        <w:numPr>
          <w:ilvl w:val="0"/>
          <w:numId w:val="4"/>
        </w:numPr>
        <w:spacing w:after="80" w:line="280"/>
      </w:pPr>
      <w:r>
        <w:rPr>
          <w:rFonts w:ascii="Arial" w:cs="Arial" w:eastAsia="Arial" w:hAnsi="Arial"/>
          <w:color w:val="333333"/>
          <w:sz w:val="21"/>
          <w:szCs w:val="21"/>
        </w:rPr>
        <w:t xml:space="preserve">Prominent disclaimers: not investment advice, not a registered investment adviser</w:t>
      </w:r>
    </w:p>
    <w:p>
      <w:pPr>
        <w:pStyle w:val="ListParagraph"/>
        <w:numPr>
          <w:ilvl w:val="0"/>
          <w:numId w:val="4"/>
        </w:numPr>
        <w:spacing w:after="80" w:line="280"/>
      </w:pPr>
      <w:r>
        <w:rPr>
          <w:rFonts w:ascii="Arial" w:cs="Arial" w:eastAsia="Arial" w:hAnsi="Arial"/>
          <w:color w:val="333333"/>
          <w:sz w:val="21"/>
          <w:szCs w:val="21"/>
        </w:rPr>
        <w:t xml:space="preserve">No “buy” / “sell” / “trade” language anywhere in the product</w:t>
      </w:r>
    </w:p>
    <w:p>
      <w:pPr>
        <w:pStyle w:val="ListParagraph"/>
        <w:numPr>
          <w:ilvl w:val="0"/>
          <w:numId w:val="4"/>
        </w:numPr>
        <w:spacing w:after="80" w:line="280"/>
      </w:pPr>
      <w:r>
        <w:rPr>
          <w:rFonts w:ascii="Arial" w:cs="Arial" w:eastAsia="Arial" w:hAnsi="Arial"/>
          <w:color w:val="333333"/>
          <w:sz w:val="21"/>
          <w:szCs w:val="21"/>
        </w:rPr>
        <w:t xml:space="preserve">GDELT citation with link to gdeltproject.org (only legal requirement for use)</w:t>
      </w:r>
    </w:p>
    <w:p>
      <w:pPr>
        <w:pStyle w:val="ListParagraph"/>
        <w:numPr>
          <w:ilvl w:val="0"/>
          <w:numId w:val="4"/>
        </w:numPr>
        <w:spacing w:after="80" w:line="280"/>
      </w:pPr>
      <w:r>
        <w:rPr>
          <w:rFonts w:ascii="Arial" w:cs="Arial" w:eastAsia="Arial" w:hAnsi="Arial"/>
          <w:color w:val="333333"/>
          <w:sz w:val="21"/>
          <w:szCs w:val="21"/>
        </w:rPr>
        <w:t xml:space="preserve">Alpha Vantage attribution as required by free tier terms</w:t>
      </w:r>
    </w:p>
    <w:p>
      <w:pPr>
        <w:pStyle w:val="Heading1"/>
        <w:spacing w:after="200" w:before="360"/>
      </w:pPr>
      <w:r>
        <w:rPr>
          <w:rFonts w:ascii="Arial" w:cs="Arial" w:eastAsia="Arial" w:hAnsi="Arial"/>
          <w:b/>
          <w:bCs/>
          <w:color w:val="1A1A2E"/>
          <w:sz w:val="32"/>
          <w:szCs w:val="32"/>
        </w:rPr>
        <w:t xml:space="preserve">13. Build Phases</w:t>
      </w:r>
    </w:p>
    <w:p>
      <w:pPr>
        <w:pStyle w:val="Heading2"/>
        <w:spacing w:after="140" w:before="280"/>
      </w:pPr>
      <w:r>
        <w:rPr>
          <w:rFonts w:ascii="Arial" w:cs="Arial" w:eastAsia="Arial" w:hAnsi="Arial"/>
          <w:b/>
          <w:bCs/>
          <w:color w:val="16213E"/>
          <w:sz w:val="26"/>
          <w:szCs w:val="26"/>
        </w:rPr>
        <w:t xml:space="preserve">Phase 1: MVP (Weeks 1–4)</w:t>
      </w:r>
    </w:p>
    <w:p>
      <w:pPr>
        <w:pStyle w:val="ListParagraph"/>
        <w:numPr>
          <w:ilvl w:val="0"/>
          <w:numId w:val="5"/>
        </w:numPr>
        <w:spacing w:after="80" w:line="280"/>
      </w:pPr>
      <w:r>
        <w:rPr>
          <w:rFonts w:ascii="Arial" w:cs="Arial" w:eastAsia="Arial" w:hAnsi="Arial"/>
          <w:color w:val="333333"/>
          <w:sz w:val="21"/>
          <w:szCs w:val="21"/>
        </w:rPr>
        <w:t xml:space="preserve">Alpha Vantage for market data, Polymarket + Kalshi for prediction markets</w:t>
      </w:r>
    </w:p>
    <w:p>
      <w:pPr>
        <w:pStyle w:val="ListParagraph"/>
        <w:numPr>
          <w:ilvl w:val="0"/>
          <w:numId w:val="5"/>
        </w:numPr>
        <w:spacing w:after="80" w:line="280"/>
      </w:pPr>
      <w:r>
        <w:rPr>
          <w:rFonts w:ascii="Arial" w:cs="Arial" w:eastAsia="Arial" w:hAnsi="Arial"/>
          <w:color w:val="333333"/>
          <w:sz w:val="21"/>
          <w:szCs w:val="21"/>
        </w:rPr>
        <w:t xml:space="preserve">Keyword scorer with GDELT volume normalization (region/global ratio)</w:t>
      </w:r>
    </w:p>
    <w:p>
      <w:pPr>
        <w:pStyle w:val="ListParagraph"/>
        <w:numPr>
          <w:ilvl w:val="0"/>
          <w:numId w:val="5"/>
        </w:numPr>
        <w:spacing w:after="80" w:line="280"/>
      </w:pPr>
      <w:r>
        <w:rPr>
          <w:rFonts w:ascii="Arial" w:cs="Arial" w:eastAsia="Arial" w:hAnsi="Arial"/>
          <w:color w:val="333333"/>
          <w:sz w:val="21"/>
          <w:szCs w:val="21"/>
        </w:rPr>
        <w:t xml:space="preserve">Rolling 60-day correlation windows from price data</w:t>
      </w:r>
    </w:p>
    <w:p>
      <w:pPr>
        <w:pStyle w:val="ListParagraph"/>
        <w:numPr>
          <w:ilvl w:val="0"/>
          <w:numId w:val="5"/>
        </w:numPr>
        <w:spacing w:after="80" w:line="280"/>
      </w:pPr>
      <w:r>
        <w:rPr>
          <w:rFonts w:ascii="Arial" w:cs="Arial" w:eastAsia="Arial" w:hAnsi="Arial"/>
          <w:color w:val="333333"/>
          <w:sz w:val="21"/>
          <w:szCs w:val="21"/>
        </w:rPr>
        <w:t xml:space="preserve">GPR index as non-multiplicative geopolitical stress input</w:t>
      </w:r>
    </w:p>
    <w:p>
      <w:pPr>
        <w:pStyle w:val="ListParagraph"/>
        <w:numPr>
          <w:ilvl w:val="0"/>
          <w:numId w:val="5"/>
        </w:numPr>
        <w:spacing w:after="80" w:line="280"/>
      </w:pPr>
      <w:r>
        <w:rPr>
          <w:rFonts w:ascii="Arial" w:cs="Arial" w:eastAsia="Arial" w:hAnsi="Arial"/>
          <w:color w:val="333333"/>
          <w:sz w:val="21"/>
          <w:szCs w:val="21"/>
        </w:rPr>
        <w:t xml:space="preserve">Single-source events capped at High, never Critical</w:t>
      </w:r>
    </w:p>
    <w:p>
      <w:pPr>
        <w:pStyle w:val="ListParagraph"/>
        <w:numPr>
          <w:ilvl w:val="0"/>
          <w:numId w:val="5"/>
        </w:numPr>
        <w:spacing w:after="80" w:line="280"/>
      </w:pPr>
      <w:r>
        <w:rPr>
          <w:rFonts w:ascii="Arial" w:cs="Arial" w:eastAsia="Arial" w:hAnsi="Arial"/>
          <w:color w:val="333333"/>
          <w:sz w:val="21"/>
          <w:szCs w:val="21"/>
        </w:rPr>
        <w:t xml:space="preserve">Asymmetric decay: 1.5x half-life for negative geopolitical events</w:t>
      </w:r>
    </w:p>
    <w:p>
      <w:pPr>
        <w:pStyle w:val="ListParagraph"/>
        <w:numPr>
          <w:ilvl w:val="0"/>
          <w:numId w:val="5"/>
        </w:numPr>
        <w:spacing w:after="80" w:line="280"/>
      </w:pPr>
      <w:r>
        <w:rPr>
          <w:rFonts w:ascii="Arial" w:cs="Arial" w:eastAsia="Arial" w:hAnsi="Arial"/>
          <w:color w:val="333333"/>
          <w:sz w:val="21"/>
          <w:szCs w:val="21"/>
        </w:rPr>
        <w:t xml:space="preserve">Confidence tier badges on all prediction market probabilities</w:t>
      </w:r>
    </w:p>
    <w:p>
      <w:pPr>
        <w:pStyle w:val="ListParagraph"/>
        <w:numPr>
          <w:ilvl w:val="0"/>
          <w:numId w:val="5"/>
        </w:numPr>
        <w:spacing w:after="80" w:line="280"/>
      </w:pPr>
      <w:r>
        <w:rPr>
          <w:rFonts w:ascii="Arial" w:cs="Arial" w:eastAsia="Arial" w:hAnsi="Arial"/>
          <w:color w:val="333333"/>
          <w:sz w:val="21"/>
          <w:szCs w:val="21"/>
        </w:rPr>
        <w:t xml:space="preserve">Transparent degradation for all data sources</w:t>
      </w:r>
    </w:p>
    <w:p>
      <w:pPr>
        <w:pStyle w:val="ListParagraph"/>
        <w:numPr>
          <w:ilvl w:val="0"/>
          <w:numId w:val="5"/>
        </w:numPr>
        <w:spacing w:after="80" w:line="280"/>
      </w:pPr>
      <w:r>
        <w:rPr>
          <w:rFonts w:ascii="Arial" w:cs="Arial" w:eastAsia="Arial" w:hAnsi="Arial"/>
          <w:color w:val="333333"/>
          <w:sz w:val="21"/>
          <w:szCs w:val="21"/>
        </w:rPr>
        <w:t xml:space="preserve">Hit-rate validation logging from day one</w:t>
      </w:r>
    </w:p>
    <w:p>
      <w:pPr>
        <w:pStyle w:val="ListParagraph"/>
        <w:numPr>
          <w:ilvl w:val="0"/>
          <w:numId w:val="5"/>
        </w:numPr>
        <w:spacing w:after="80" w:line="280"/>
      </w:pPr>
      <w:r>
        <w:rPr>
          <w:rFonts w:ascii="Arial" w:cs="Arial" w:eastAsia="Arial" w:hAnsi="Arial"/>
          <w:color w:val="333333"/>
          <w:sz w:val="21"/>
          <w:szCs w:val="21"/>
        </w:rPr>
        <w:t xml:space="preserve">Securities attorney review of all UI copy</w:t>
      </w:r>
    </w:p>
    <w:p>
      <w:pPr>
        <w:pStyle w:val="Heading2"/>
        <w:spacing w:after="140" w:before="280"/>
      </w:pPr>
      <w:r>
        <w:rPr>
          <w:rFonts w:ascii="Arial" w:cs="Arial" w:eastAsia="Arial" w:hAnsi="Arial"/>
          <w:b/>
          <w:bCs/>
          <w:color w:val="16213E"/>
          <w:sz w:val="26"/>
          <w:szCs w:val="26"/>
        </w:rPr>
        <w:t xml:space="preserve">Phase 2: Hardening (Weeks 5–8)</w:t>
      </w:r>
    </w:p>
    <w:p>
      <w:pPr>
        <w:pStyle w:val="ListParagraph"/>
        <w:numPr>
          <w:ilvl w:val="0"/>
          <w:numId w:val="5"/>
        </w:numPr>
        <w:spacing w:after="80" w:line="280"/>
      </w:pPr>
      <w:r>
        <w:rPr>
          <w:rFonts w:ascii="Arial" w:cs="Arial" w:eastAsia="Arial" w:hAnsi="Arial"/>
          <w:color w:val="333333"/>
          <w:sz w:val="21"/>
          <w:szCs w:val="21"/>
        </w:rPr>
        <w:t xml:space="preserve">Source deduplication in corroboration engine (GDELT source entity metadata)</w:t>
      </w:r>
    </w:p>
    <w:p>
      <w:pPr>
        <w:pStyle w:val="ListParagraph"/>
        <w:numPr>
          <w:ilvl w:val="0"/>
          <w:numId w:val="5"/>
        </w:numPr>
        <w:spacing w:after="80" w:line="280"/>
      </w:pPr>
      <w:r>
        <w:rPr>
          <w:rFonts w:ascii="Arial" w:cs="Arial" w:eastAsia="Arial" w:hAnsi="Arial"/>
          <w:color w:val="333333"/>
          <w:sz w:val="21"/>
          <w:szCs w:val="21"/>
        </w:rPr>
        <w:t xml:space="preserve">Adaptive correlation windows (regime-detection: 5-day vs 60-day, 2σ trigger)</w:t>
      </w:r>
    </w:p>
    <w:p>
      <w:pPr>
        <w:pStyle w:val="ListParagraph"/>
        <w:numPr>
          <w:ilvl w:val="0"/>
          <w:numId w:val="5"/>
        </w:numPr>
        <w:spacing w:after="80" w:line="280"/>
      </w:pPr>
      <w:r>
        <w:rPr>
          <w:rFonts w:ascii="Arial" w:cs="Arial" w:eastAsia="Arial" w:hAnsi="Arial"/>
          <w:color w:val="333333"/>
          <w:sz w:val="21"/>
          <w:szCs w:val="21"/>
        </w:rPr>
        <w:t xml:space="preserve">Favorite-longshot bias correction on prediction market probabilities</w:t>
      </w:r>
    </w:p>
    <w:p>
      <w:pPr>
        <w:pStyle w:val="ListParagraph"/>
        <w:numPr>
          <w:ilvl w:val="0"/>
          <w:numId w:val="5"/>
        </w:numPr>
        <w:spacing w:after="80" w:line="280"/>
      </w:pPr>
      <w:r>
        <w:rPr>
          <w:rFonts w:ascii="Arial" w:cs="Arial" w:eastAsia="Arial" w:hAnsi="Arial"/>
          <w:color w:val="333333"/>
          <w:sz w:val="21"/>
          <w:szCs w:val="21"/>
        </w:rPr>
        <w:t xml:space="preserve">Novel-event AI classification with dictionary self-improvement loop</w:t>
      </w:r>
    </w:p>
    <w:p>
      <w:pPr>
        <w:pStyle w:val="ListParagraph"/>
        <w:numPr>
          <w:ilvl w:val="0"/>
          <w:numId w:val="5"/>
        </w:numPr>
        <w:spacing w:after="80" w:line="280"/>
      </w:pPr>
      <w:r>
        <w:rPr>
          <w:rFonts w:ascii="Arial" w:cs="Arial" w:eastAsia="Arial" w:hAnsi="Arial"/>
          <w:color w:val="333333"/>
          <w:sz w:val="21"/>
          <w:szCs w:val="21"/>
        </w:rPr>
        <w:t xml:space="preserve">Upgrade to Finnhub (free, 60 calls/min) if Alpha Vantage refresh rate insufficient</w:t>
      </w:r>
    </w:p>
    <w:p>
      <w:pPr>
        <w:pStyle w:val="Heading2"/>
        <w:spacing w:after="140" w:before="280"/>
      </w:pPr>
      <w:r>
        <w:rPr>
          <w:rFonts w:ascii="Arial" w:cs="Arial" w:eastAsia="Arial" w:hAnsi="Arial"/>
          <w:b/>
          <w:bCs/>
          <w:color w:val="16213E"/>
          <w:sz w:val="26"/>
          <w:szCs w:val="26"/>
        </w:rPr>
        <w:t xml:space="preserve">Phase 3: If Traction (Months 3–6)</w:t>
      </w:r>
    </w:p>
    <w:p>
      <w:pPr>
        <w:pStyle w:val="ListParagraph"/>
        <w:numPr>
          <w:ilvl w:val="0"/>
          <w:numId w:val="5"/>
        </w:numPr>
        <w:spacing w:after="80" w:line="280"/>
      </w:pPr>
      <w:r>
        <w:rPr>
          <w:rFonts w:ascii="Arial" w:cs="Arial" w:eastAsia="Arial" w:hAnsi="Arial"/>
          <w:color w:val="333333"/>
          <w:sz w:val="21"/>
          <w:szCs w:val="21"/>
        </w:rPr>
        <w:t xml:space="preserve">DCC-GARCH or regime-switching correlation model</w:t>
      </w:r>
    </w:p>
    <w:p>
      <w:pPr>
        <w:pStyle w:val="ListParagraph"/>
        <w:numPr>
          <w:ilvl w:val="0"/>
          <w:numId w:val="5"/>
        </w:numPr>
        <w:spacing w:after="80" w:line="280"/>
      </w:pPr>
      <w:r>
        <w:rPr>
          <w:rFonts w:ascii="Arial" w:cs="Arial" w:eastAsia="Arial" w:hAnsi="Arial"/>
          <w:color w:val="333333"/>
          <w:sz w:val="21"/>
          <w:szCs w:val="21"/>
        </w:rPr>
        <w:t xml:space="preserve">Power-law decay experiments (replacing exponential for extreme events)</w:t>
      </w:r>
    </w:p>
    <w:p>
      <w:pPr>
        <w:pStyle w:val="ListParagraph"/>
        <w:numPr>
          <w:ilvl w:val="0"/>
          <w:numId w:val="5"/>
        </w:numPr>
        <w:spacing w:after="80" w:line="280"/>
      </w:pPr>
      <w:r>
        <w:rPr>
          <w:rFonts w:ascii="Arial" w:cs="Arial" w:eastAsia="Arial" w:hAnsi="Arial"/>
          <w:color w:val="333333"/>
          <w:sz w:val="21"/>
          <w:szCs w:val="21"/>
        </w:rPr>
        <w:t xml:space="preserve">User portfolio integration (with proper legal structuring)</w:t>
      </w:r>
    </w:p>
    <w:p>
      <w:pPr>
        <w:pStyle w:val="ListParagraph"/>
        <w:numPr>
          <w:ilvl w:val="0"/>
          <w:numId w:val="5"/>
        </w:numPr>
        <w:spacing w:after="80" w:line="280"/>
      </w:pPr>
      <w:r>
        <w:rPr>
          <w:rFonts w:ascii="Arial" w:cs="Arial" w:eastAsia="Arial" w:hAnsi="Arial"/>
          <w:color w:val="333333"/>
          <w:sz w:val="21"/>
          <w:szCs w:val="21"/>
        </w:rPr>
        <w:t xml:space="preserve">Historical backtesting framework to validate composite scores vs real price moves</w:t>
      </w:r>
    </w:p>
    <w:p>
      <w:pPr>
        <w:pStyle w:val="ListParagraph"/>
        <w:numPr>
          <w:ilvl w:val="0"/>
          <w:numId w:val="5"/>
        </w:numPr>
        <w:spacing w:after="80" w:line="280"/>
      </w:pPr>
      <w:r>
        <w:rPr>
          <w:rFonts w:ascii="Arial" w:cs="Arial" w:eastAsia="Arial" w:hAnsi="Arial"/>
          <w:color w:val="333333"/>
          <w:sz w:val="21"/>
          <w:szCs w:val="21"/>
        </w:rPr>
        <w:t xml:space="preserve">Expanded asset coverage and international markets</w:t>
      </w:r>
    </w:p>
    <w:p>
      <w:pPr>
        <w:pStyle w:val="Heading1"/>
        <w:spacing w:after="200" w:before="360"/>
      </w:pPr>
      <w:r>
        <w:rPr>
          <w:rFonts w:ascii="Arial" w:cs="Arial" w:eastAsia="Arial" w:hAnsi="Arial"/>
          <w:b/>
          <w:bCs/>
          <w:color w:val="1A1A2E"/>
          <w:sz w:val="32"/>
          <w:szCs w:val="32"/>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Metric</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Target</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Hit rate (high-severity alerts)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&gt;60% within predicted timeframe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Automated logging from day 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False critical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&lt;5% of critical alerts are single-source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Corroboration engine audit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Data freshness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&gt;95% of feeds within 15 min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Degradation badge frequency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AI call volume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&lt;100 calls/day (within free 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Gemini usage dashboard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User retention (D7)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&gt;40%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Time-to-value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&lt;30 seconds to understand top threat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User testing</w:t>
            </w:r>
          </w:p>
        </w:tc>
      </w:tr>
    </w:tbl>
    <w:p>
      <w:pPr>
        <w:spacing w:after="200"/>
      </w:pPr>
    </w:p>
    <w:p>
      <w:pPr>
        <w:pBdr>
          <w:top w:val="single" w:color="E94560" w:sz="2" w:space="8"/>
        </w:pBdr>
        <w:spacing w:before="200"/>
      </w:pPr>
      <w:r>
        <w:rPr>
          <w:rFonts w:ascii="Arial" w:cs="Arial" w:eastAsia="Arial" w:hAnsi="Arial"/>
          <w:i/>
          <w:iCs/>
          <w:color w:val="666666"/>
          <w:sz w:val="19"/>
          <w:szCs w:val="19"/>
        </w:rPr>
        <w:t xml:space="preserve">This document incorporates findings from two rounds of adversarial technical review covering API viability, competitive analysis, academic validation of scoring methodology, legal risk assessment, and historical failure case studies. The architecture described above addresses all identified critical and high-severity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FLASHPOINT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2026-03-21T05:49:32.947Z</dcterms:created>
  <dcterms:modified xsi:type="dcterms:W3CDTF">2026-03-21T05:49:32.948Z</dcterms:modified>
</cp:coreProperties>
</file>

<file path=docProps/custom.xml><?xml version="1.0" encoding="utf-8"?>
<Properties xmlns="http://schemas.openxmlformats.org/officeDocument/2006/custom-properties" xmlns:vt="http://schemas.openxmlformats.org/officeDocument/2006/docPropsVTypes"/>
</file>