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00" w:before="1800"/><w:jc w:val="center"/></w:pPr><w:r><w:rPr><w:rFonts w:ascii="Arial" w:cs="Arial" w:eastAsia="Arial" w:hAnsi="Arial"/><w:b/><w:bCs/><w:color w:val="1E2761"/><w:sz w:val="44"/><w:szCs w:val="44"/></w:rPr><w:t xml:space="preserve">DS357 – Explainable AI</w:t></w:r></w:p><w:p><w:pPr><w:spacing w:after="200" w:before="0"/><w:jc w:val="center"/></w:pPr><w:r><w:rPr><w:rFonts w:ascii="Arial" w:cs="Arial" w:eastAsia="Arial" w:hAnsi="Arial"/><w:b/><w:bCs/><w:color w:val="1E293B"/><w:sz w:val="30"/><w:szCs w:val="30"/></w:rPr><w:t xml:space="preserve">Phase 3: Research Gap Identification and Extension</w:t></w:r></w:p><w:p><w:pPr><w:spacing w:after="60" w:before="60"/><w:jc w:val="center"/></w:pPr><w:r><w:rPr><w:rFonts w:ascii="Arial" w:cs="Arial" w:eastAsia="Arial" w:hAnsi="Arial"/><w:color w:val="64748B"/><w:sz w:val="24"/><w:szCs w:val="24"/></w:rPr><w:t xml:space="preserve">Full Experiment Report — Problem, Solution, Result &amp; Analysis</w:t></w:r></w:p><w:p><w:pPr><w:spacing w:after="40" w:before="40"/></w:pPr><w:r><w:rPr><w:sz w:val="10"/><w:szCs w:val="10"/></w:rPr><w:t xml:space="preserve"></w:t></w:r></w:p><w:p><w:pPr><w:spacing w:after="40" w:before="40"/></w:pPr><w:r><w:rPr><w:sz w:val="10"/><w:szCs w:val="10"/></w:rPr><w:t xml:space="preserve"></w:t></w:r></w:p><w:p><w:pPr><w:spacing w:after="40" w:before="60"/><w:jc w:val="center"/></w:pPr><w:r><w:rPr><w:rFonts w:ascii="Arial" w:cs="Arial" w:eastAsia="Arial" w:hAnsi="Arial"/><w:i/><w:iCs/><w:color w:val="64748B"/><w:sz w:val="21"/><w:szCs w:val="21"/></w:rPr><w:t xml:space="preserve">Based on replication of:</w:t></w:r></w:p><w:p><w:pPr><w:spacing w:after="40" w:before="0"/><w:jc w:val="center"/></w:pPr><w:r><w:rPr><w:rFonts w:ascii="Arial" w:cs="Arial" w:eastAsia="Arial" w:hAnsi="Arial"/><w:b/><w:bCs/><w:color w:val="1E2761"/><w:sz w:val="21"/><w:szCs w:val="21"/></w:rPr><w:t xml:space="preserve">Chen, Calabrese &amp; Martin-Barragan — European Journal of Operational Research 312 (2024) 357–372</w:t></w:r></w:p><w:p><w:pPr><w:spacing w:after="40" w:before="40"/></w:pPr><w:r><w:rPr><w:sz w:val="10"/><w:szCs w:val="10"/></w:rPr><w:t xml:space="preserve"></w:t></w:r></w:p><w:p><w:pPr><w:spacing w:after="40" w:before="40"/></w:pPr><w:r><w:rPr><w:sz w:val="10"/><w:szCs w:val="10"/></w:rP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CCCCC" w:sz="1"/><w:left w:val="single" w:color="CCCCCC" w:sz="1"/><w:bottom w:val="single" w:color="CCCCCC" w:sz="1"/><w:right w:val="single" w:color="CCCCCC" w:sz="1"/></w:tcBorders><w:shd w:fill="EEF2FF" w:val="clear"/><w:tcMar><w:top w:type="dxa" w:w="100"/><w:left w:type="dxa" w:w="120"/><w:bottom w:type="dxa" w:w="100"/><w:right w:type="dxa" w:w="120"/></w:tcMar></w:tcPr><w:p><w:r><w:rPr><w:rFonts w:ascii="Arial" w:cs="Arial" w:eastAsia="Arial" w:hAnsi="Arial"/><w:b/><w:bCs/><w:color w:val="1E2761"/><w:sz w:val="18"/><w:szCs w:val="18"/></w:rPr><w:t xml:space="preserve">Dataset</w:t></w:r></w:p><w:p><w:r><w:rPr><w:rFonts w:ascii="Arial" w:cs="Arial" w:eastAsia="Arial" w:hAnsi="Arial"/><w:color w:val="1E293B"/><w:sz w:val="18"/><w:szCs w:val="18"/></w:rPr><w:t xml:space="preserve">Taiwan Credit Card Default
(30,000 observations)</w:t></w:r></w:p></w:tc><w:tc><w:tcPr><w:tcW w:type="dxa" w:w="2340"/><w:tcBorders><w:top w:val="single" w:color="CCCCCC" w:sz="1"/><w:left w:val="single" w:color="CCCCCC" w:sz="1"/><w:bottom w:val="single" w:color="CCCCCC" w:sz="1"/><w:right w:val="single" w:color="CCCCCC" w:sz="1"/></w:tcBorders><w:shd w:fill="EEF2FF" w:val="clear"/><w:tcMar><w:top w:type="dxa" w:w="100"/><w:left w:type="dxa" w:w="120"/><w:bottom w:type="dxa" w:w="100"/><w:right w:type="dxa" w:w="120"/></w:tcMar></w:tcPr><w:p><w:r><w:rPr><w:rFonts w:ascii="Arial" w:cs="Arial" w:eastAsia="Arial" w:hAnsi="Arial"/><w:b/><w:bCs/><w:color w:val="1E2761"/><w:sz w:val="18"/><w:szCs w:val="18"/></w:rPr><w:t xml:space="preserve">Model</w:t></w:r></w:p><w:p><w:r><w:rPr><w:rFonts w:ascii="Arial" w:cs="Arial" w:eastAsia="Arial" w:hAnsi="Arial"/><w:color w:val="1E293B"/><w:sz w:val="18"/><w:szCs w:val="18"/></w:rPr><w:t xml:space="preserve">XGBoost (200 estimators,
learning rate 0.1)</w:t></w:r></w:p></w:tc><w:tc><w:tcPr><w:tcW w:type="dxa" w:w="2340"/><w:tcBorders><w:top w:val="single" w:color="CCCCCC" w:sz="1"/><w:left w:val="single" w:color="CCCCCC" w:sz="1"/><w:bottom w:val="single" w:color="CCCCCC" w:sz="1"/><w:right w:val="single" w:color="CCCCCC" w:sz="1"/></w:tcBorders><w:shd w:fill="EEF2FF" w:val="clear"/><w:tcMar><w:top w:type="dxa" w:w="100"/><w:left w:type="dxa" w:w="120"/><w:bottom w:type="dxa" w:w="100"/><w:right w:type="dxa" w:w="120"/></w:tcMar></w:tcPr><w:p><w:r><w:rPr><w:rFonts w:ascii="Arial" w:cs="Arial" w:eastAsia="Arial" w:hAnsi="Arial"/><w:b/><w:bCs/><w:color w:val="1E2761"/><w:sz w:val="18"/><w:szCs w:val="18"/></w:rPr><w:t xml:space="preserve">XAI Method</w:t></w:r></w:p><w:p><w:r><w:rPr><w:rFonts w:ascii="Arial" w:cs="Arial" w:eastAsia="Arial" w:hAnsi="Arial"/><w:color w:val="1E293B"/><w:sz w:val="18"/><w:szCs w:val="18"/></w:rPr><w:t xml:space="preserve">Tree SHAP (interventional
expectations)</w:t></w:r></w:p></w:tc><w:tc><w:tcPr><w:tcW w:type="dxa" w:w="2340"/><w:tcBorders><w:top w:val="single" w:color="CCCCCC" w:sz="1"/><w:left w:val="single" w:color="CCCCCC" w:sz="1"/><w:bottom w:val="single" w:color="CCCCCC" w:sz="1"/><w:right w:val="single" w:color="CCCCCC" w:sz="1"/></w:tcBorders><w:shd w:fill="EEF2FF" w:val="clear"/><w:tcMar><w:top w:type="dxa" w:w="100"/><w:left w:type="dxa" w:w="120"/><w:bottom w:type="dxa" w:w="100"/><w:right w:type="dxa" w:w="120"/></w:tcMar></w:tcPr><w:p><w:r><w:rPr><w:rFonts w:ascii="Arial" w:cs="Arial" w:eastAsia="Arial" w:hAnsi="Arial"/><w:b/><w:bCs/><w:color w:val="1E2761"/><w:sz w:val="18"/><w:szCs w:val="18"/></w:rPr><w:t xml:space="preserve">Experiments</w:t></w:r></w:p><w:p><w:r><w:rPr><w:rFonts w:ascii="Arial" w:cs="Arial" w:eastAsia="Arial" w:hAnsi="Arial"/><w:color w:val="1E293B"/><w:sz w:val="18"/><w:szCs w:val="18"/></w:rPr><w:t xml:space="preserve">4 total: Phase 3, Exp C,
Exp D, Exp E</w:t></w:r></w:p></w:tc></w:tr></w:tbl><w:p><w:r><w:br w:type="page"/></w:r></w:p><w:p><w:pPr><w:pStyle w:val="Heading1"/><w:spacing w:after="160" w:before="360"/></w:pPr><w:r><w:rPr><w:rFonts w:ascii="Arial" w:cs="Arial" w:eastAsia="Arial" w:hAnsi="Arial"/><w:b/><w:bCs/><w:color w:val="1E2761"/><w:sz w:val="34"/><w:szCs w:val="34"/></w:rPr><w:t xml:space="preserve">Overview of All Experiments</w:t></w:r></w:p><w:p><w:pPr><w:spacing w:after="80" w:before="80"/><w:jc w:val="both"/></w:pPr><w:r><w:rPr><w:rFonts w:ascii="Arial" w:cs="Arial" w:eastAsia="Arial" w:hAnsi="Arial"/><w:color w:val="1E293B"/><w:sz w:val="22"/><w:szCs w:val="22"/></w:rPr><w:t xml:space="preserve">This report presents four experiments conducted as Phase 3 of the DS357 XAI course project. Each experiment is documented in a structured format covering: what problem motivated it, what approach we designed to address it, what the results showed numerically, and what those results mean in practice. All experiments use the Taiwan Credit Card Default Dataset with XGBoost as the black-box model and Tree SHAP as the interpretation method.</w:t></w:r></w:p><w:p><w:pPr><w:spacing w:after="40" w:before="40"/></w:pPr><w:r><w:rPr><w:sz w:val="10"/><w:szCs w:val="10"/></w:rPr><w:t xml:space="preserve"></w:t></w:r></w:p><w:p><w:pPr><w:spacing w:after="80" w:before="80"/><w:jc w:val="both"/></w:pPr><w:r><w:rPr><w:rFonts w:ascii="Arial" w:cs="Arial" w:eastAsia="Arial" w:hAnsi="Arial"/><w:color w:val="1E293B"/><w:sz w:val="22"/><w:szCs w:val="22"/></w:rPr><w:t xml:space="preserve">The original paper by Chen et al. (2024) proved that class imbalance makes SHAP explanations unstable in credit scoring. Its Section 7 explicitly listed several open questions for future research. Each experiment below directly answers one of those open questions.</w:t></w:r></w:p><w:p><w:pPr><w:spacing w:after="40" w:before="40"/></w:pPr><w:r><w:rPr><w:sz w:val="10"/><w:szCs w:val="10"/></w:rPr><w:t xml:space="preserve"></w:t></w:r></w:p><0/><w:p><w:r><w:br w:type="page"/></w:r></w:p><w:p><w:pPr><w:pStyle w:val="Heading1"/><w:spacing w:after="160" w:before="360"/></w:pPr><w:r><w:rPr><w:rFonts w:ascii="Arial" w:cs="Arial" w:eastAsia="Arial" w:hAnsi="Arial"/><w:b/><w:bCs/><w:color w:val="1E2761"/><w:sz w:val="34"/><w:szCs w:val="34"/></w:rPr><w:t xml:space="preserve">Phase 3 — Resampling Strategies vs SHAP Stability</w:t></w:r></w:p><w:p><w:pPr><w:pBdr><w:bottom w:val="single" w:color="CADCFC" w:sz="4"/></w:pBdr><w:spacing w:after="160" w:before="160"/></w:pPr><w:r><w:rPr><w:sz w:val="4"/><w:szCs w:val="4"/></w:rPr><w:t xml:space="preserve"></w:t></w:r></w:p><w:p><w:pPr><w:pStyle w:val="Heading2"/><w:spacing w:after="120" w:before="280"/></w:pPr><w:r><w:rPr><w:rFonts w:ascii="Arial" w:cs="Arial" w:eastAsia="Arial" w:hAnsi="Arial"/><w:b/><w:bCs/><w:color w:val="1E2761"/><w:sz w:val="26"/><w:szCs w:val="26"/></w:rPr><w:t xml:space="preserve">Problem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w:gridCol w:w="9140"/></w:tblGrid><w:tr><w:tc><w:tcPr><w:tcW w:type="dxa" w:w="220"/><w:tcBorders><w:top w:val="none" w:color="FFFFFF" w:sz="0"/><w:left w:val="none" w:color="FFFFFF" w:sz="0"/><w:bottom w:val="none" w:color="FFFFFF" w:sz="0"/><w:right w:val="none" w:color="FFFFFF" w:sz="0"/></w:tcBorders><w:shd w:fill="1E2761" w:val="clear"/></w:tcPr><w:p><w:r><w:rPr><w:sz w:val="22"/><w:szCs w:val="22"/></w:rPr><w:t xml:space="preserve"></w:t></w:r></w:p></w:tc><w:tc><w:tcPr><w:tcW w:type="dxa" w:w="9140"/><w:tcBorders><w:top w:val="none" w:color="FFFFFF" w:sz="0"/><w:left w:val="none" w:color="FFFFFF" w:sz="0"/><w:bottom w:val="none" w:color="FFFFFF" w:sz="0"/><w:right w:val="none" w:color="FFFFFF" w:sz="0"/></w:tcBorders><w:shd w:fill="F8FAFF" w:val="clear"/><w:tcMar><w:top w:type="dxa" w:w="120"/><w:left w:type="dxa" w:w="180"/><w:bottom w:type="dxa" w:w="120"/><w:right w:type="dxa" w:w="100"/></w:tcMar></w:tcPr><w:p><w:pPr><w:jc w:val="both"/></w:pPr><w:r><w:rPr><w:rFonts w:ascii="Arial" w:cs="Arial" w:eastAsia="Arial" w:hAnsi="Arial"/><w:i/><w:iCs/><w:color w:val="1E293B"/><w:sz w:val="21"/><w:szCs w:val="21"/></w:rPr><w:t xml:space="preserve">The original paper proves that class imbalance degrades SHAP stability but does not test whether standard imbalanced-learning corrections can restore it. Financial institutions applying machine learning to mortgage portfolios (default rate &lt; 0.5%) routinely apply SMOTE, ADASYN, random undersampling, or cost-sensitive learning to improve predictive accuracy. The unanswered question is: do these corrections also improve SHAP explanation stability, or do they make it worse? Without knowing this, a bank cannot make an informed decision about which preprocessing pipeline to use when SHAP-based explanations are a regulatory requirement under ECOA or GDPR.</w:t></w:r></w:p></w:tc></w:tr></w:tbl><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Solution / Approach</w:t></w:r></w:p><w:p><w:pPr><w:spacing w:after="80" w:before="80"/><w:jc w:val="both"/></w:pPr><w:r><w:rPr><w:rFonts w:ascii="Arial" w:cs="Arial" w:eastAsia="Arial" w:hAnsi="Arial"/><w:color w:val="1E293B"/><w:sz w:val="22"/><w:szCs w:val="22"/></w:rPr><w:t xml:space="preserve">We followed the identical framework from the original paper — building 12 training sets at default rates 1% to 50% with fixed sample size 6,258 — but inserted a resampling step before model training. Five conditions:</w:t></w:r></w:p><w:p><w:pPr><w:spacing w:after="40" w:before="40"/></w:pPr><w:r><w:rPr><w:sz w:val="10"/><w:szCs w:val="10"/></w:rPr><w:t xml:space="preserve"></w:t></w:r></w:p><0/><w:p><w:pPr><w:spacing w:after="40" w:before="40"/></w:pPr><w:r><w:rPr><w:sz w:val="10"/><w:szCs w:val="10"/></w:rPr><w:t xml:space="preserve"></w:t></w:r></w:p><w:p><w:pPr><w:spacing w:after="80" w:before="80"/><w:jc w:val="both"/></w:pPr><w:r><w:rPr><w:rFonts w:ascii="Arial" w:cs="Arial" w:eastAsia="Arial" w:hAnsi="Arial"/><w:color w:val="1E293B"/><w:sz w:val="22"/><w:szCs w:val="22"/></w:rPr><w:t xml:space="preserve">Stability metrics: SHAP CV (Coefficient of Variation of absolute SHAP values across iterations — higher = less stable) and SHAP SRA (Sequential Rank Agreement of feature ranking lists — higher = less stable rankings). 30 iterations, 50 targets.</w:t></w:r></w:p><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Results</w:t></w:r></w:p><w:p><w:pPr><w:spacing w:after="40" w:before="40"/></w:pPr><w:r><w:rPr><w:sz w:val="10"/><w:szCs w:val="10"/></w:rPr><w:t xml:space="preserve"></w:t></w:r></w:p><0/><w:p><w:pPr><w:spacing w:after="40" w:before="40"/></w:pPr><w:r><w:rPr><w:sz w:val="10"/><w:szCs w:val="10"/></w:rPr><w:t xml:space="preserve"></w:t></w:r></w:p><0/><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Analysis</w:t></w:r></w:p><w:p><w:pPr><w:spacing w:after="80" w:before="200"/></w:pPr><w:r><w:rPr><w:rFonts w:ascii="Arial" w:cs="Arial" w:eastAsia="Arial" w:hAnsi="Arial"/><w:b/><w:bCs/><w:color w:val="1E293B"/><w:sz w:val="23"/><w:szCs w:val="23"/></w:rPr><w:t xml:space="preserve">SMOTE and ADASYN are the best resampling strategies</w:t></w:r></w:p><w:p><w:pPr><w:spacing w:after="80" w:before="80"/><w:jc w:val="both"/></w:pPr><w:r><w:rPr><w:rFonts w:ascii="Arial" w:cs="Arial" w:eastAsia="Arial" w:hAnsi="Arial"/><w:color w:val="1E293B"/><w:sz w:val="22"/><w:szCs w:val="22"/></w:rPr><w:t xml:space="preserve">At 1% default rate, SMOTE reduces SHAP CV from 0.846 to 0.816 (3.5% improvement) and SRA from 32.56 to 30.18 (7.3% improvement). ADASYN performs virtually identically. Both help because synthetic minority samples give SHAP&apos;s background dataset more minority class representation when computing interventional expectations. The improvement is consistent across all default rates below 25% and disappears at 50% where no correction is needed.</w:t></w:r></w:p><w:p><w:pPr><w:spacing w:after="40" w:before="40"/></w:pPr><w:r><w:rPr><w:sz w:val="10"/><w:szCs w:val="10"/></w:rPr><w:t xml:space="preserve"></w:t></w:r></w:p><w:p><w:pPr><w:spacing w:after="80" w:before="200"/></w:pPr><w:r><w:rPr><w:rFonts w:ascii="Arial" w:cs="Arial" w:eastAsia="Arial" w:hAnsi="Arial"/><w:b/><w:bCs/><w:color w:val="1E293B"/><w:sz w:val="23"/><w:szCs w:val="23"/></w:rPr><w:t xml:space="preserve">RUS is the only strategy that makes SHAP stability worse</w:t></w:r></w:p><w:p><w:pPr><w:spacing w:after="80" w:before="80"/><w:jc w:val="both"/></w:pPr><w:r><w:rPr><w:rFonts w:ascii="Arial" w:cs="Arial" w:eastAsia="Arial" w:hAnsi="Arial"/><w:color w:val="1E293B"/><w:sz w:val="22"/><w:szCs w:val="22"/></w:rPr><w:t xml:space="preserve">Random Under-Sampling raises SRA from 32.56 to 32.67 at 1% — making ranking stability worse than doing nothing. The mechanism is direct: RUS removes majority class samples from the training set. Tree SHAP uses the training set as its background dataset. Fewer background samples means higher variance in expected model outputs, which directly increases SHAP instability. Any practitioner using RUS before generating SHAP explanations is producing less trustworthy results than they would get with the original imbalanced data.</w:t></w:r></w:p><w:p><w:pPr><w:spacing w:after="40" w:before="40"/></w:pPr><w:r><w:rPr><w:sz w:val="10"/><w:szCs w:val="10"/></w:rPr><w:t xml:space="preserve"></w:t></w:r></w:p><w:p><w:pPr><w:spacing w:after="80" w:before="200"/></w:pPr><w:r><w:rPr><w:rFonts w:ascii="Arial" w:cs="Arial" w:eastAsia="Arial" w:hAnsi="Arial"/><w:b/><w:bCs/><w:color w:val="1E293B"/><w:sz w:val="23"/><w:szCs w:val="23"/></w:rPr><w:t xml:space="preserve">Cost-sensitive learning gives negligible improvement</w:t></w:r></w:p><w:p><w:pPr><w:spacing w:after="80" w:before="80"/><w:jc w:val="both"/></w:pPr><w:r><w:rPr><w:rFonts w:ascii="Arial" w:cs="Arial" w:eastAsia="Arial" w:hAnsi="Arial"/><w:color w:val="1E293B"/><w:sz w:val="22"/><w:szCs w:val="22"/></w:rPr><w:t xml:space="preserve">Despite being theoretically appealing — it modifies the loss function without touching training data — cost-sensitive XGBoost only moves CV from 0.846 to 0.844 at 1%. The scale_pos_weight parameter changes what the model learns but not what SHAP uses as its reference distribution. The background dataset remains as imbalanced as the training set.</w:t></w:r></w:p><w:p><w:pPr><w:spacing w:after="40" w:before="40"/></w:pPr><w:r><w:rPr><w:sz w:val="10"/><w:szCs w:val="10"/></w:rPr><w:t xml:space="preserve"></w:t></w:r></w:p><w:p><w:pPr><w:spacing w:after="80" w:before="200"/></w:pPr><w:r><w:rPr><w:rFonts w:ascii="Arial" w:cs="Arial" w:eastAsia="Arial" w:hAnsi="Arial"/><w:b/><w:bCs/><w:color w:val="1E293B"/><w:sz w:val="23"/><w:szCs w:val="23"/></w:rPr><w:t xml:space="preserve">No strategy solves the problem completely</w:t></w:r></w:p><w:p><w:pPr><w:spacing w:after="80" w:before="80"/><w:jc w:val="both"/></w:pPr><w:r><w:rPr><w:rFonts w:ascii="Arial" w:cs="Arial" w:eastAsia="Arial" w:hAnsi="Arial"/><w:color w:val="1E293B"/><w:sz w:val="22"/><w:szCs w:val="22"/></w:rPr><w:t xml:space="preserve">Even with SMOTE at 1% default rate, SHAP CV remains at 0.816 — substantially higher than the 0.651 observed at balanced conditions. The convergence of all strategies at 50% confirms that instability is structural and rooted in sparse minority class data, not in model or training procedure choices.</w:t></w:r></w:p><w:p><w:pPr><w:pBdr><w:bottom w:val="single" w:color="CADCFC" w:sz="4"/></w:pBdr><w:spacing w:after="160" w:before="160"/></w:pPr><w:r><w:rPr><w:sz w:val="4"/><w:szCs w:val="4"/></w:rPr><w:t xml:space="preserve"></w:t></w:r></w:p><w:p><w:r><w:br w:type="page"/></w:r></w:p><w:p><w:pPr><w:pStyle w:val="Heading1"/><w:spacing w:after="160" w:before="360"/></w:pPr><w:r><w:rPr><w:rFonts w:ascii="Arial" w:cs="Arial" w:eastAsia="Arial" w:hAnsi="Arial"/><w:b/><w:bCs/><w:color w:val="1E2761"/><w:sz w:val="34"/><w:szCs w:val="34"/></w:rPr><w:t xml:space="preserve">Experiment C — Defaulter vs Non-Defaulter Stability Split</w:t></w:r></w:p><w:p><w:pPr><w:pBdr><w:bottom w:val="single" w:color="CADCFC" w:sz="4"/></w:pBdr><w:spacing w:after="160" w:before="160"/></w:pPr><w:r><w:rPr><w:sz w:val="4"/><w:szCs w:val="4"/></w:rPr><w:t xml:space="preserve"></w:t></w:r></w:p><w:p><w:pPr><w:pStyle w:val="Heading2"/><w:spacing w:after="120" w:before="280"/></w:pPr><w:r><w:rPr><w:rFonts w:ascii="Arial" w:cs="Arial" w:eastAsia="Arial" w:hAnsi="Arial"/><w:b/><w:bCs/><w:color w:val="1E2761"/><w:sz w:val="26"/><w:szCs w:val="26"/></w:rPr><w:t xml:space="preserve">Problem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w:gridCol w:w="9140"/></w:tblGrid><w:tr><w:tc><w:tcPr><w:tcW w:type="dxa" w:w="220"/><w:tcBorders><w:top w:val="none" w:color="FFFFFF" w:sz="0"/><w:left w:val="none" w:color="FFFFFF" w:sz="0"/><w:bottom w:val="none" w:color="FFFFFF" w:sz="0"/><w:right w:val="none" w:color="FFFFFF" w:sz="0"/></w:tcBorders><w:shd w:fill="A32D2D" w:val="clear"/></w:tcPr><w:p><w:r><w:rPr><w:sz w:val="22"/><w:szCs w:val="22"/></w:rPr><w:t xml:space="preserve"></w:t></w:r></w:p></w:tc><w:tc><w:tcPr><w:tcW w:type="dxa" w:w="9140"/><w:tcBorders><w:top w:val="none" w:color="FFFFFF" w:sz="0"/><w:left w:val="none" w:color="FFFFFF" w:sz="0"/><w:bottom w:val="none" w:color="FFFFFF" w:sz="0"/><w:right w:val="none" w:color="FFFFFF" w:sz="0"/></w:tcBorders><w:shd w:fill="F8FAFF" w:val="clear"/><w:tcMar><w:top w:type="dxa" w:w="120"/><w:left w:type="dxa" w:w="180"/><w:bottom w:type="dxa" w:w="120"/><w:right w:type="dxa" w:w="100"/></w:tcMar></w:tcPr><w:p><w:pPr><w:jc w:val="both"/></w:pPr><w:r><w:rPr><w:rFonts w:ascii="Arial" w:cs="Arial" w:eastAsia="Arial" w:hAnsi="Arial"/><w:i/><w:iCs/><w:color w:val="1E293B"/><w:sz w:val="21"/><w:szCs w:val="21"/></w:rPr><w:t xml:space="preserve">Regulations such as ECOA (US) and GDPR (EU) specifically protect individuals who are denied credit — in credit scoring terms, the defaulters (minority class). The original paper measures SHAP stability averaged across all 200 targets combined. Nobody has checked whether instability is concentrated in defaulter explanations specifically. If defaulters receive systematically less stable SHAP explanations than non-defaulters, that is a direct regulatory compliance problem: the exact people the law protects are getting the least trustworthy explanations. This is the fairness dimension of the instability problem.</w:t></w:r></w:p></w:tc></w:tr></w:tbl><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Solution / Approach</w:t></w:r></w:p><w:p><w:pPr><w:spacing w:after="80" w:before="80"/><w:jc w:val="both"/></w:pPr><w:r><w:rPr><w:rFonts w:ascii="Arial" w:cs="Arial" w:eastAsia="Arial" w:hAnsi="Arial"/><w:color w:val="1E293B"/><w:sz w:val="22"/><w:szCs w:val="22"/></w:rPr><w:t xml:space="preserve">We used the same experimental setup as Phase 3 but tracked stability metrics separately for the two target groups. The 50 target instances were split by their true label: y=1 defaulters and y=0 non-defaulters. For each strategy and each default rate we computed SHAP CV and SHAP SRA for each group independently, then calculated the stability gap (defaulter metric minus non-defaulter metric). A positive CV gap means defaulters are less stable. All 5 strategies and all 12 default rates were covered, giving 60 data points per metric per class group.</w:t></w:r></w:p><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Results</w:t></w:r></w:p><w:p><w:pPr><w:spacing w:after="40" w:before="40"/></w:pPr><w:r><w:rPr><w:sz w:val="10"/><w:szCs w:val="10"/></w:rPr><w:t xml:space="preserve"></w:t></w:r></w:p><0/><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Analysis</w:t></w:r></w:p><w:p><w:pPr><w:spacing w:after="80" w:before="200"/></w:pPr><w:r><w:rPr><w:rFonts w:ascii="Arial" w:cs="Arial" w:eastAsia="Arial" w:hAnsi="Arial"/><w:b/><w:bCs/><w:color w:val="1E293B"/><w:sz w:val="23"/><w:szCs w:val="23"/></w:rPr><w:t xml:space="preserve">The expected asymmetry is not confirmed for CV</w:t></w:r></w:p><w:p><w:pPr><w:spacing w:after="80" w:before="80"/><w:jc w:val="both"/></w:pPr><w:r><w:rPr><w:rFonts w:ascii="Arial" w:cs="Arial" w:eastAsia="Arial" w:hAnsi="Arial"/><w:color w:val="1E293B"/><w:sz w:val="22"/><w:szCs w:val="22"/></w:rPr><w:t xml:space="preserve">We hypothesised that defaulters would have substantially higher SHAP CV because they are the minority class with sparse training representation. The data contradicts this. At 1% default rate, the CV gap is only −0.011 — meaning non-defaulters are very slightly less stable. At every default rate the absolute gap is under 0.017, and it flips sign across conditions. Both classes are harmed almost equally by class imbalance in terms of SHAP value stability.</w:t></w:r></w:p><w:p><w:pPr><w:spacing w:after="40" w:before="40"/></w:pPr><w:r><w:rPr><w:sz w:val="10"/><w:szCs w:val="10"/></w:rPr><w:t xml:space="preserve"></w:t></w:r></w:p><w:p><w:pPr><w:spacing w:after="80" w:before="200"/></w:pPr><w:r><w:rPr><w:rFonts w:ascii="Arial" w:cs="Arial" w:eastAsia="Arial" w:hAnsi="Arial"/><w:b/><w:bCs/><w:color w:val="1E293B"/><w:sz w:val="23"/><w:szCs w:val="23"/></w:rPr><w:t xml:space="preserve">SRA shows mild asymmetry — but in the unexpected direction</w:t></w:r></w:p><w:p><w:pPr><w:spacing w:after="80" w:before="80"/><w:jc w:val="both"/></w:pPr><w:r><w:rPr><w:rFonts w:ascii="Arial" w:cs="Arial" w:eastAsia="Arial" w:hAnsi="Arial"/><w:color w:val="1E293B"/><w:sz w:val="22"/><w:szCs w:val="22"/></w:rPr><w:t xml:space="preserve">At moderate default rates (10% to 50%), defaulters actually show lower SRA values (more stable rankings) than non-defaulters. This appears counter-intuitive. The explanation: at moderate imbalance, the model has a strong, stable decision rule for the majority class. Non-defaulters near the decision boundary get variable rankings because small training set changes shift which features dominate their explanation. Defaulters, being rare and behaviourally distinctive, consistently receive the same small set of features as their top SHAP drivers — giving more stable rankings despite having unstable absolute values.</w:t></w:r></w:p><w:p><w:pPr><w:spacing w:after="40" w:before="40"/></w:pPr><w:r><w:rPr><w:sz w:val="10"/><w:szCs w:val="10"/></w:rPr><w:t xml:space="preserve"></w:t></w:r></w:p><w:p><w:pPr><w:spacing w:after="80" w:before="200"/></w:pPr><w:r><w:rPr><w:rFonts w:ascii="Arial" w:cs="Arial" w:eastAsia="Arial" w:hAnsi="Arial"/><w:b/><w:bCs/><w:color w:val="1E293B"/><w:sz w:val="23"/><w:szCs w:val="23"/></w:rPr><w:t xml:space="preserve">The regulatory implication is broader than expected</w:t></w:r></w:p><w:p><w:pPr><w:spacing w:after="80" w:before="80"/><w:jc w:val="both"/></w:pPr><w:r><w:rPr><w:rFonts w:ascii="Arial" w:cs="Arial" w:eastAsia="Arial" w:hAnsi="Arial"/><w:color w:val="1E293B"/><w:sz w:val="22"/><w:szCs w:val="22"/></w:rPr><w:t xml:space="preserve">The original hypothesis — that defaulters suffer disproportionately — would have been a targeted fairness problem. The actual finding — that both classes suffer almost equally — is a systemic model reliability problem. Class imbalance degrades SHAP for every prediction regardless of outcome. Financial institutions cannot audit only rejection explanations and assume approval explanations are trustworthy. Stability testing must cover all predictions. This broadens the regulatory concern from minority group protection to universal model reliability.</w:t></w:r></w:p><w:p><w:pPr><w:spacing w:after="40" w:before="40"/></w:pPr><w:r><w:rPr><w:sz w:val="10"/><w:szCs w:val="10"/></w:rPr><w:t xml:space="preserve"></w:t></w:r></w:p><w:p><w:pPr><w:spacing w:after="80" w:before="200"/></w:pPr><w:r><w:rPr><w:rFonts w:ascii="Arial" w:cs="Arial" w:eastAsia="Arial" w:hAnsi="Arial"/><w:b/><w:bCs/><w:color w:val="1E293B"/><w:sz w:val="23"/><w:szCs w:val="23"/></w:rPr><w:t xml:space="preserve">SMOTE introduces no fairness bias</w:t></w:r></w:p><w:p><w:pPr><w:spacing w:after="80" w:before="80"/><w:jc w:val="both"/></w:pPr><w:r><w:rPr><w:rFonts w:ascii="Arial" w:cs="Arial" w:eastAsia="Arial" w:hAnsi="Arial"/><w:color w:val="1E293B"/><w:sz w:val="22"/><w:szCs w:val="22"/></w:rPr><w:t xml:space="preserve">Under SMOTE at 1%, non-defaulter CV drops from 0.851 to 0.821 and defaulter CV drops from 0.840 to 0.811. The proportional improvement is nearly identical for both groups. Practitioners choosing SMOTE for accuracy reasons can be confident it does not disproportionately improve or worsen explanation quality for one class.</w:t></w:r></w:p><w:p><w:pPr><w:pBdr><w:bottom w:val="single" w:color="CADCFC" w:sz="4"/></w:pBdr><w:spacing w:after="160" w:before="160"/></w:pPr><w:r><w:rPr><w:sz w:val="4"/><w:szCs w:val="4"/></w:rPr><w:t xml:space="preserve"></w:t></w:r></w:p><w:p><w:r><w:br w:type="page"/></w:r></w:p><w:p><w:pPr><w:pStyle w:val="Heading1"/><w:spacing w:after="160" w:before="360"/></w:pPr><w:r><w:rPr><w:rFonts w:ascii="Arial" w:cs="Arial" w:eastAsia="Arial" w:hAnsi="Arial"/><w:b/><w:bCs/><w:color w:val="1E2761"/><w:sz w:val="34"/><w:szCs w:val="34"/></w:rPr><w:t xml:space="preserve">Experiment D — SHAP Background Dataset Composition and Size</w:t></w:r></w:p><w:p><w:pPr><w:pBdr><w:bottom w:val="single" w:color="CADCFC" w:sz="4"/></w:pBdr><w:spacing w:after="160" w:before="160"/></w:pPr><w:r><w:rPr><w:sz w:val="4"/><w:szCs w:val="4"/></w:rPr><w:t xml:space="preserve"></w:t></w:r></w:p><w:p><w:pPr><w:pStyle w:val="Heading2"/><w:spacing w:after="120" w:before="280"/></w:pPr><w:r><w:rPr><w:rFonts w:ascii="Arial" w:cs="Arial" w:eastAsia="Arial" w:hAnsi="Arial"/><w:b/><w:bCs/><w:color w:val="1E2761"/><w:sz w:val="26"/><w:szCs w:val="26"/></w:rPr><w:t xml:space="preserve">Problem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w:gridCol w:w="9140"/></w:tblGrid><w:tr><w:tc><w:tcPr><w:tcW w:type="dxa" w:w="220"/><w:tcBorders><w:top w:val="none" w:color="FFFFFF" w:sz="0"/><w:left w:val="none" w:color="FFFFFF" w:sz="0"/><w:bottom w:val="none" w:color="FFFFFF" w:sz="0"/><w:right w:val="none" w:color="FFFFFF" w:sz="0"/></w:tcBorders><w:shd w:fill="854F0B" w:val="clear"/></w:tcPr><w:p><w:r><w:rPr><w:sz w:val="22"/><w:szCs w:val="22"/></w:rPr><w:t xml:space="preserve"></w:t></w:r></w:p></w:tc><w:tc><w:tcPr><w:tcW w:type="dxa" w:w="9140"/><w:tcBorders><w:top w:val="none" w:color="FFFFFF" w:sz="0"/><w:left w:val="none" w:color="FFFFFF" w:sz="0"/><w:bottom w:val="none" w:color="FFFFFF" w:sz="0"/><w:right w:val="none" w:color="FFFFFF" w:sz="0"/></w:tcBorders><w:shd w:fill="F8FAFF" w:val="clear"/><w:tcMar><w:top w:type="dxa" w:w="120"/><w:left w:type="dxa" w:w="180"/><w:bottom w:type="dxa" w:w="120"/><w:right w:type="dxa" w:w="100"/></w:tcMar></w:tcPr><w:p><w:pPr><w:jc w:val="both"/></w:pPr><w:r><w:rPr><w:rFonts w:ascii="Arial" w:cs="Arial" w:eastAsia="Arial" w:hAnsi="Arial"/><w:i/><w:iCs/><w:color w:val="1E293B"/><w:sz w:val="21"/><w:szCs w:val="21"/></w:rPr><w:t xml:space="preserve">Every previous experiment modifies the training data or the model&apos;s loss function. None modifies the computation inside SHAP itself. Tree SHAP computes interventional expectations: for each feature, it estimates the model&apos;s average output when that feature is intervened on, averaged over all samples in a background dataset (Equation 5 of Chen et al. 2024). The original paper always uses the full training set as this background. At 1% default rate, that background is 99% non-defaulters — SHAP computes feature contributions using almost no minority class reference information. The hypothesis is that the instability comes not from how the model is trained but from what SHAP uses as its reference distribution. If we change the background dataset without changing the model, can we restore stability?</w:t></w:r></w:p></w:tc></w:tr></w:tbl><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Solution / Approach</w:t></w:r></w:p><w:p><w:pPr><w:spacing w:after="80" w:before="80"/><w:jc w:val="both"/></w:pPr><w:r><w:rPr><w:rFonts w:ascii="Arial" w:cs="Arial" w:eastAsia="Arial" w:hAnsi="Arial"/><w:color w:val="1E293B"/><w:sz w:val="22"/><w:szCs w:val="22"/></w:rPr><w:t xml:space="preserve">We fixed model training (no resampling, standard XGBoost) and varied only the data= argument passed to shap.TreeExplainer. Two sub-experiments:</w:t></w:r></w:p><w:p><w:pPr><w:spacing w:after="40" w:before="40"/></w:pPr><w:r><w:rPr><w:sz w:val="10"/><w:szCs w:val="10"/></w:rPr><w:t xml:space="preserve"></w:t></w:r></w:p><w:p><w:pPr><w:spacing w:after="80" w:before="200"/></w:pPr><w:r><w:rPr><w:rFonts w:ascii="Arial" w:cs="Arial" w:eastAsia="Arial" w:hAnsi="Arial"/><w:b/><w:bCs/><w:color w:val="1E293B"/><w:sz w:val="23"/><w:szCs w:val="23"/></w:rPr><w:t xml:space="preserve">Part 1 — Background size ablation (fixed at 1% default rate)</w:t></w:r></w:p><w:p><w:pPr><w:spacing w:after="80" w:before="80"/><w:jc w:val="both"/></w:pPr><w:r><w:rPr><w:rFonts w:ascii="Arial" w:cs="Arial" w:eastAsia="Arial" w:hAnsi="Arial"/><w:color w:val="1E293B"/><w:sz w:val="22"/><w:szCs w:val="22"/></w:rPr><w:t xml:space="preserve">Two composition strategies (random subset and balanced 50/50 subset) were tested at six background sizes: 50, 100, 200, 500, 1000, and full training set. This identifies the optimal background size.</w:t></w:r></w:p><w:p><w:pPr><w:spacing w:after="40" w:before="40"/></w:pPr><w:r><w:rPr><w:sz w:val="10"/><w:szCs w:val="10"/></w:rPr><w:t xml:space="preserve"></w:t></w:r></w:p><w:p><w:pPr><w:spacing w:after="80" w:before="200"/></w:pPr><w:r><w:rPr><w:rFonts w:ascii="Arial" w:cs="Arial" w:eastAsia="Arial" w:hAnsi="Arial"/><w:b/><w:bCs/><w:color w:val="1E293B"/><w:sz w:val="23"/><w:szCs w:val="23"/></w:rPr><w:t xml:space="preserve">Part 2 — Background composition across all default rates</w:t></w:r></w:p><w:p><w:pPr><w:spacing w:after="80" w:before="80"/><w:jc w:val="both"/></w:pPr><w:r><w:rPr><w:rFonts w:ascii="Arial" w:cs="Arial" w:eastAsia="Arial" w:hAnsi="Arial"/><w:color w:val="1E293B"/><w:sz w:val="22"/><w:szCs w:val="22"/></w:rPr><w:t xml:space="preserve">Five background types were tested at fixed size n=200 across all 12 default rates:</w:t></w:r></w:p><w:p><w:pPr><w:pStyle w:val="ListParagraph"/><w:numPr><w:ilvl w:val="0"/><w:numId w:val="2"/></w:numPr><w:spacing w:after="60" w:before="60"/></w:pPr><w:r><w:rPr><w:rFonts w:ascii="Arial" w:cs="Arial" w:eastAsia="Arial" w:hAnsi="Arial"/><w:b/><w:bCs/><w:color w:val="1E293B"/><w:sz w:val="22"/><w:szCs w:val="22"/></w:rPr><w:t xml:space="preserve">Full training set</w:t></w:r><w:r><w:rPr><w:rFonts w:ascii="Arial" w:cs="Arial" w:eastAsia="Arial" w:hAnsi="Arial"/><w:color w:val="1E293B"/><w:sz w:val="22"/><w:szCs w:val="22"/></w:rPr><w:t xml:space="preserve">— the paper&apos;s original approach (imbalanced background)</w:t></w:r></w:p><w:p><w:pPr><w:pStyle w:val="ListParagraph"/><w:numPr><w:ilvl w:val="0"/><w:numId w:val="2"/></w:numPr><w:spacing w:after="60" w:before="60"/></w:pPr><w:r><w:rPr><w:rFonts w:ascii="Arial" w:cs="Arial" w:eastAsia="Arial" w:hAnsi="Arial"/><w:b/><w:bCs/><w:color w:val="1E293B"/><w:sz w:val="22"/><w:szCs w:val="22"/></w:rPr><w:t xml:space="preserve">Random subset (n=200)</w:t></w:r><w:r><w:rPr><w:rFonts w:ascii="Arial" w:cs="Arial" w:eastAsia="Arial" w:hAnsi="Arial"/><w:color w:val="1E293B"/><w:sz w:val="22"/><w:szCs w:val="22"/></w:rPr><w:t xml:space="preserve">— random sample of training set at natural imbalance</w:t></w:r></w:p><w:p><w:pPr><w:pStyle w:val="ListParagraph"/><w:numPr><w:ilvl w:val="0"/><w:numId w:val="2"/></w:numPr><w:spacing w:after="60" w:before="60"/></w:pPr><w:r><w:rPr><w:rFonts w:ascii="Arial" w:cs="Arial" w:eastAsia="Arial" w:hAnsi="Arial"/><w:b/><w:bCs/><w:color w:val="1E293B"/><w:sz w:val="22"/><w:szCs w:val="22"/></w:rPr><w:t xml:space="preserve">Balanced 50/50 (n=200)</w:t></w:r><w:r><w:rPr><w:rFonts w:ascii="Arial" w:cs="Arial" w:eastAsia="Arial" w:hAnsi="Arial"/><w:color w:val="1E293B"/><w:sz w:val="22"/><w:szCs w:val="22"/></w:rPr><w:t xml:space="preserve">— 100 defaulters + 100 non-defaulters from training set</w:t></w:r></w:p><w:p><w:pPr><w:pStyle w:val="ListParagraph"/><w:numPr><w:ilvl w:val="0"/><w:numId w:val="2"/></w:numPr><w:spacing w:after="60" w:before="60"/></w:pPr><w:r><w:rPr><w:rFonts w:ascii="Arial" w:cs="Arial" w:eastAsia="Arial" w:hAnsi="Arial"/><w:b/><w:bCs/><w:color w:val="1E293B"/><w:sz w:val="22"/><w:szCs w:val="22"/></w:rPr><w:t xml:space="preserve">Minority-only (up to n=200)</w:t></w:r><w:r><w:rPr><w:rFonts w:ascii="Arial" w:cs="Arial" w:eastAsia="Arial" w:hAnsi="Arial"/><w:color w:val="1E293B"/><w:sz w:val="22"/><w:szCs w:val="22"/></w:rPr><w:t xml:space="preserve">— only defaulters from training set</w:t></w:r></w:p><w:p><w:pPr><w:pStyle w:val="ListParagraph"/><w:numPr><w:ilvl w:val="0"/><w:numId w:val="2"/></w:numPr><w:spacing w:after="60" w:before="60"/></w:pPr><w:r><w:rPr><w:rFonts w:ascii="Arial" w:cs="Arial" w:eastAsia="Arial" w:hAnsi="Arial"/><w:b/><w:bCs/><w:color w:val="1E293B"/><w:sz w:val="22"/><w:szCs w:val="22"/></w:rPr><w:t xml:space="preserve">Majority-only (n=200)</w:t></w:r><w:r><w:rPr><w:rFonts w:ascii="Arial" w:cs="Arial" w:eastAsia="Arial" w:hAnsi="Arial"/><w:color w:val="1E293B"/><w:sz w:val="22"/><w:szCs w:val="22"/></w:rPr><w:t xml:space="preserve">— only non-defaulters from training set</w:t></w:r></w:p><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Results — Part 1: Background Size Ablation at 1% DR</w:t></w:r></w:p><w:p><w:pPr><w:spacing w:after="40" w:before="40"/></w:pPr><w:r><w:rPr><w:sz w:val="10"/><w:szCs w:val="10"/></w:rPr><w:t xml:space="preserve"></w:t></w:r></w:p><0/><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Results — Part 2: Background Composition Across All Default Rates</w:t></w:r></w:p><w:p><w:pPr><w:spacing w:after="40" w:before="40"/></w:pPr><w:r><w:rPr><w:sz w:val="10"/><w:szCs w:val="10"/></w:rPr><w:t xml:space="preserve"></w:t></w:r></w:p><0/><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Analysis</w:t></w:r></w:p><w:p><w:pPr><w:spacing w:after="80" w:before="200"/></w:pPr><w:r><w:rPr><w:rFonts w:ascii="Arial" w:cs="Arial" w:eastAsia="Arial" w:hAnsi="Arial"/><w:b/><w:bCs/><w:color w:val="1E293B"/><w:sz w:val="23"/><w:szCs w:val="23"/></w:rPr><w:t xml:space="preserve">Minority-only background is the most effective technique across all experiments</w:t></w:r></w:p><w:p><w:pPr><w:spacing w:after="80" w:before="80"/><w:jc w:val="both"/></w:pPr><w:r><w:rPr><w:rFonts w:ascii="Arial" w:cs="Arial" w:eastAsia="Arial" w:hAnsi="Arial"/><w:color w:val="1E293B"/><w:sz w:val="22"/><w:szCs w:val="22"/></w:rPr><w:t xml:space="preserve">Using only the 63 available defaulters as SHAP&apos;s background reduces CV from 0.849 to 0.782 at 1% default rate — an 8.2% improvement. This is the largest improvement recorded across all four experiments, better than SMOTE (3.5%), ADASYN (3.5%), and every other strategy. The mechanism is direct: SHAP computes feature contributions by measuring expected model output changes when feature values are set to the target instance&apos;s values. When the background contains only defaulters, those expected outputs are computed relative to a distribution that is behaviourally similar to the target being explained. The model&apos;s sensitivity to payment history features — which is high for defaulters — is captured accurately rather than being averaged away by 99% non-defaulter background samples.</w:t></w:r></w:p><w:p><w:pPr><w:spacing w:after="40" w:before="40"/></w:pPr><w:r><w:rPr><w:sz w:val="10"/><w:szCs w:val="10"/></w:rPr><w:t xml:space="preserve"></w:t></w:r></w:p><w:p><w:pPr><w:spacing w:after="80" w:before="200"/></w:pPr><w:r><w:rPr><w:rFonts w:ascii="Arial" w:cs="Arial" w:eastAsia="Arial" w:hAnsi="Arial"/><w:b/><w:bCs/><w:color w:val="1E293B"/><w:sz w:val="23"/><w:szCs w:val="23"/></w:rPr><w:t xml:space="preserve">Optimal background size is approximately n=100 balanced</w:t></w:r></w:p><w:p><w:pPr><w:spacing w:after="80" w:before="80"/><w:jc w:val="both"/></w:pPr><w:r><w:rPr><w:rFonts w:ascii="Arial" w:cs="Arial" w:eastAsia="Arial" w:hAnsi="Arial"/><w:color w:val="1E293B"/><w:sz w:val="22"/><w:szCs w:val="22"/></w:rPr><w:t xml:space="preserve">The size ablation reveals a clear optimum at n=100 balanced samples (CV 0.795). Below 100, the minority count is too small (25 at n=50) to provide stable expectations. Above 100, the 63-sample minority ceiling is reached — so larger &apos;balanced&apos; backgrounds are actually sampling with replacement from 63 defaulters, which degrades rather than helps. The practical rule is: use all available minority class samples plus an equal number of majority class samples as the SHAP background.</w:t></w:r></w:p><w:p><w:pPr><w:spacing w:after="40" w:before="40"/></w:pPr><w:r><w:rPr><w:sz w:val="10"/><w:szCs w:val="10"/></w:rPr><w:t xml:space="preserve"></w:t></w:r></w:p><w:p><w:pPr><w:spacing w:after="80" w:before="200"/></w:pPr><w:r><w:rPr><w:rFonts w:ascii="Arial" w:cs="Arial" w:eastAsia="Arial" w:hAnsi="Arial"/><w:b/><w:bCs/><w:color w:val="1E293B"/><w:sz w:val="23"/><w:szCs w:val="23"/></w:rPr><w:t xml:space="preserve">Majority-only background is the worst choice</w:t></w:r></w:p><w:p><w:pPr><w:spacing w:after="80" w:before="80"/><w:jc w:val="both"/></w:pPr><w:r><w:rPr><w:rFonts w:ascii="Arial" w:cs="Arial" w:eastAsia="Arial" w:hAnsi="Arial"/><w:color w:val="1E293B"/><w:sz w:val="22"/><w:szCs w:val="22"/></w:rPr><w:t xml:space="preserve">A background of only non-defaulters makes SHAP stability worse than the full imbalanced training set (CV 0.858 vs 0.849). When SHAP measures feature contributions exclusively against a non-defaulter reference distribution, its attributions for any prediction — especially minority class predictions — become highly variable because the reference distribution is entirely unlike the targets being explained.</w:t></w:r></w:p><w:p><w:pPr><w:spacing w:after="40" w:before="40"/></w:pPr><w:r><w:rPr><w:sz w:val="10"/><w:szCs w:val="10"/></w:rPr><w:t xml:space="preserve"></w:t></w:r></w:p><w:p><w:pPr><w:spacing w:after="80" w:before="200"/></w:pPr><w:r><w:rPr><w:rFonts w:ascii="Arial" w:cs="Arial" w:eastAsia="Arial" w:hAnsi="Arial"/><w:b/><w:bCs/><w:color w:val="1E293B"/><w:sz w:val="23"/><w:szCs w:val="23"/></w:rPr><w:t xml:space="preserve">This is a zero-cost post-hoc fix</w:t></w:r></w:p><w:p><w:pPr><w:spacing w:after="80" w:before="80"/><w:jc w:val="both"/></w:pPr><w:r><w:rPr><w:rFonts w:ascii="Arial" w:cs="Arial" w:eastAsia="Arial" w:hAnsi="Arial"/><w:color w:val="1E293B"/><w:sz w:val="22"/><w:szCs w:val="22"/></w:rPr><w:t xml:space="preserve">The background dataset modification requires no changes to model training, no data generation, and no hyperparameter search. Implementation: shap.TreeExplainer(model, data=X_minority_background, feature_perturbation=&apos;interventional&apos;). Any organisation currently using Tree SHAP with the full training set as background can immediately improve stability by switching to a balanced or minority-only background subset. This is the most actionable finding of all four experiments.</w:t></w:r></w:p><w:p><w:pPr><w:pBdr><w:bottom w:val="single" w:color="CADCFC" w:sz="4"/></w:pBdr><w:spacing w:after="160" w:before="160"/></w:pPr><w:r><w:rPr><w:sz w:val="4"/><w:szCs w:val="4"/></w:rPr><w:t xml:space="preserve"></w:t></w:r></w:p><w:p><w:r><w:br w:type="page"/></w:r></w:p><w:p><w:pPr><w:pStyle w:val="Heading1"/><w:spacing w:after="160" w:before="360"/></w:pPr><w:r><w:rPr><w:rFonts w:ascii="Arial" w:cs="Arial" w:eastAsia="Arial" w:hAnsi="Arial"/><w:b/><w:bCs/><w:color w:val="1E2761"/><w:sz w:val="34"/><w:szCs w:val="34"/></w:rPr><w:t xml:space="preserve">Experiment E — Feature-Level SHAP Stability Heatmap</w:t></w:r></w:p><w:p><w:pPr><w:pBdr><w:bottom w:val="single" w:color="CADCFC" w:sz="4"/></w:pBdr><w:spacing w:after="160" w:before="160"/></w:pPr><w:r><w:rPr><w:sz w:val="4"/><w:szCs w:val="4"/></w:rPr><w:t xml:space="preserve"></w:t></w:r></w:p><w:p><w:pPr><w:pStyle w:val="Heading2"/><w:spacing w:after="120" w:before="280"/></w:pPr><w:r><w:rPr><w:rFonts w:ascii="Arial" w:cs="Arial" w:eastAsia="Arial" w:hAnsi="Arial"/><w:b/><w:bCs/><w:color w:val="1E2761"/><w:sz w:val="26"/><w:szCs w:val="26"/></w:rPr><w:t xml:space="preserve">Problem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w:gridCol w:w="9140"/></w:tblGrid><w:tr><w:tc><w:tcPr><w:tcW w:type="dxa" w:w="220"/><w:tcBorders><w:top w:val="none" w:color="FFFFFF" w:sz="0"/><w:left w:val="none" w:color="FFFFFF" w:sz="0"/><w:bottom w:val="none" w:color="FFFFFF" w:sz="0"/><w:right w:val="none" w:color="FFFFFF" w:sz="0"/></w:tcBorders><w:shd w:fill="02C39A" w:val="clear"/></w:tcPr><w:p><w:r><w:rPr><w:sz w:val="22"/><w:szCs w:val="22"/></w:rPr><w:t xml:space="preserve"></w:t></w:r></w:p></w:tc><w:tc><w:tcPr><w:tcW w:type="dxa" w:w="9140"/><w:tcBorders><w:top w:val="none" w:color="FFFFFF" w:sz="0"/><w:left w:val="none" w:color="FFFFFF" w:sz="0"/><w:bottom w:val="none" w:color="FFFFFF" w:sz="0"/><w:right w:val="none" w:color="FFFFFF" w:sz="0"/></w:tcBorders><w:shd w:fill="F8FAFF" w:val="clear"/><w:tcMar><w:top w:type="dxa" w:w="120"/><w:left w:type="dxa" w:w="180"/><w:bottom w:type="dxa" w:w="120"/><w:right w:type="dxa" w:w="100"/></w:tcMar></w:tcPr><w:p><w:pPr><w:jc w:val="both"/></w:pPr><w:r><w:rPr><w:rFonts w:ascii="Arial" w:cs="Arial" w:eastAsia="Arial" w:hAnsi="Arial"/><w:i/><w:iCs/><w:color w:val="1E293B"/><w:sz w:val="21"/><w:szCs w:val="21"/></w:rPr><w:t xml:space="preserve">All previous experiments report stability as a single number averaged across all features. A practitioner knowing that overall SHAP CV is 0.846 cannot tell which specific features are most unreliable. In credit scoring, different features carry very different regulatory weight. Payment history (pay_0 through pay_6) is the primary driver of credit decisions and the feature most cited in adverse action notices to denied applicants. Bill amounts are secondary, contextual features. If payment history SHAP values are substantially more unstable than bill amount SHAP values, that changes the regulatory risk profile entirely — the features most cited in denial letters are the least trustworthy ones.</w:t></w:r></w:p></w:tc></w:tr></w:tbl><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Solution / Approach</w:t></w:r></w:p><w:p><w:pPr><w:spacing w:after="80" w:before="80"/><w:jc w:val="both"/></w:pPr><w:r><w:rPr><w:rFonts w:ascii="Arial" w:cs="Arial" w:eastAsia="Arial" w:hAnsi="Arial"/><w:color w:val="1E293B"/><w:sz w:val="22"/><w:szCs w:val="22"/></w:rPr><w:t xml:space="preserve">We computed SHAP CV and mean rank position independently for each of the 23 features in the Taiwan dataset, across all 12 default rates, using 30 iterations and 50 targets. This produced a 23-feature by 12-default-rate matrix of stability values. Key outputs:</w:t></w:r></w:p><w:p><w:pPr><w:pStyle w:val="ListParagraph"/><w:numPr><w:ilvl w:val="0"/><w:numId w:val="2"/></w:numPr><w:spacing w:after="60" w:before="60"/></w:pPr><w:r><w:rPr><w:rFonts w:ascii="Arial" w:cs="Arial" w:eastAsia="Arial" w:hAnsi="Arial"/><w:b/><w:bCs/><w:color w:val="1E293B"/><w:sz w:val="22"/><w:szCs w:val="22"/></w:rPr><w:t xml:space="preserve">Per-feature CV matrix</w:t></w:r><w:r><w:rPr><w:rFonts w:ascii="Arial" w:cs="Arial" w:eastAsia="Arial" w:hAnsi="Arial"/><w:color w:val="1E293B"/><w:sz w:val="22"/><w:szCs w:val="22"/></w:rPr><w:t xml:space="preserve">— shows how unstable each feature&apos;s SHAP value is at each default rate</w:t></w:r></w:p><w:p><w:pPr><w:pStyle w:val="ListParagraph"/><w:numPr><w:ilvl w:val="0"/><w:numId w:val="2"/></w:numPr><w:spacing w:after="60" w:before="60"/></w:pPr><w:r><w:rPr><w:rFonts w:ascii="Arial" w:cs="Arial" w:eastAsia="Arial" w:hAnsi="Arial"/><w:b/><w:bCs/><w:color w:val="1E293B"/><w:sz w:val="22"/><w:szCs w:val="22"/></w:rPr><w:t xml:space="preserve">Critical threshold per feature</w:t></w:r><w:r><w:rPr><w:rFonts w:ascii="Arial" w:cs="Arial" w:eastAsia="Arial" w:hAnsi="Arial"/><w:color w:val="1E293B"/><w:sz w:val="22"/><w:szCs w:val="22"/></w:rPr><w:t xml:space="preserve">— the default rate below which CV exceeds 0.5 (unstable zone)</w:t></w:r></w:p><w:p><w:pPr><w:pStyle w:val="ListParagraph"/><w:numPr><w:ilvl w:val="0"/><w:numId w:val="2"/></w:numPr><w:spacing w:after="60" w:before="60"/></w:pPr><w:r><w:rPr><w:rFonts w:ascii="Arial" w:cs="Arial" w:eastAsia="Arial" w:hAnsi="Arial"/><w:b/><w:bCs/><w:color w:val="1E293B"/><w:sz w:val="22"/><w:szCs w:val="22"/></w:rPr><w:t xml:space="preserve">Mean rank position per feature</w:t></w:r><w:r><w:rPr><w:rFonts w:ascii="Arial" w:cs="Arial" w:eastAsia="Arial" w:hAnsi="Arial"/><w:color w:val="1E293B"/><w:sz w:val="22"/><w:szCs w:val="22"/></w:rPr><w:t xml:space="preserve">— shows where each feature ranks in importance across iterations</w:t></w:r></w:p><w:p><w:pPr><w:pStyle w:val="ListParagraph"/><w:numPr><w:ilvl w:val="0"/><w:numId w:val="2"/></w:numPr><w:spacing w:after="60" w:before="60"/></w:pPr><w:r><w:rPr><w:rFonts w:ascii="Arial" w:cs="Arial" w:eastAsia="Arial" w:hAnsi="Arial"/><w:b/><w:bCs/><w:color w:val="1E293B"/><w:sz w:val="22"/><w:szCs w:val="22"/></w:rPr><w:t xml:space="preserve">Feature grouping analysis</w:t></w:r><w:r><w:rPr><w:rFonts w:ascii="Arial" w:cs="Arial" w:eastAsia="Arial" w:hAnsi="Arial"/><w:color w:val="1E293B"/><w:sz w:val="22"/><w:szCs w:val="22"/></w:rPr><w:t xml:space="preserve">— payment status features (categorical, behavioural) vs monetary amount features (continuous, static)</w:t></w:r></w:p><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Results</w:t></w:r></w:p><w:p><w:pPr><w:spacing w:after="40" w:before="40"/></w:pPr><w:r><w:rPr><w:sz w:val="10"/><w:szCs w:val="10"/></w:rPr><w:t xml:space="preserve"></w:t></w:r></w:p><0/><w:p><w:pPr><w:spacing w:after="40" w:before="40"/></w:pPr><w:r><w:rPr><w:sz w:val="10"/><w:szCs w:val="10"/></w:rPr><w:t xml:space="preserve"></w:t></w:r></w:p><0/><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Analysis</w:t></w:r></w:p><w:p><w:pPr><w:spacing w:after="80" w:before="200"/></w:pPr><w:r><w:rPr><w:rFonts w:ascii="Arial" w:cs="Arial" w:eastAsia="Arial" w:hAnsi="Arial"/><w:b/><w:bCs/><w:color w:val="1E293B"/><w:sz w:val="23"/><w:szCs w:val="23"/></w:rPr><w:t xml:space="preserve">Payment history features are 2× more unstable than bill amount features</w:t></w:r></w:p><w:p><w:pPr><w:spacing w:after="80" w:before="80"/><w:jc w:val="both"/></w:pPr><w:r><w:rPr><w:rFonts w:ascii="Arial" w:cs="Arial" w:eastAsia="Arial" w:hAnsi="Arial"/><w:color w:val="1E293B"/><w:sz w:val="22"/><w:szCs w:val="22"/></w:rPr><w:t xml:space="preserve">All six payment status features exceed CV 1.3 at 1% default rate. All six bill amount features are below CV 1.05 at 1%. The ratio between the worst payment feature (pay_4 = 1.712) and the best bill feature (bill_amt1 = 0.803) is 2.13. This is not a marginal difference — the SHAP value for a customer&apos;s April payment status is more than twice as variable across repeated model runs as the SHAP value for their current bill amount. The pattern holds at 5% and 25% default rates, meaning the instability is not confined to extreme conditions.</w:t></w:r></w:p><w:p><w:pPr><w:spacing w:after="40" w:before="40"/></w:pPr><w:r><w:rPr><w:sz w:val="10"/><w:szCs w:val="10"/></w:rPr><w:t xml:space="preserve"></w:t></w:r></w:p><w:p><w:pPr><w:spacing w:after="80" w:before="200"/></w:pPr><w:r><w:rPr><w:rFonts w:ascii="Arial" w:cs="Arial" w:eastAsia="Arial" w:hAnsi="Arial"/><w:b/><w:bCs/><w:color w:val="1E293B"/><w:sz w:val="23"/><w:szCs w:val="23"/></w:rPr><w:t xml:space="preserve">The reason is class-specific behavioural patterns in a sparse minority</w:t></w:r></w:p><w:p><w:pPr><w:spacing w:after="80" w:before="80"/><w:jc w:val="both"/></w:pPr><w:r><w:rPr><w:rFonts w:ascii="Arial" w:cs="Arial" w:eastAsia="Arial" w:hAnsi="Arial"/><w:color w:val="1E293B"/><w:sz w:val="22"/><w:szCs w:val="22"/></w:rPr><w:t xml:space="preserve">Payment status features are categorical (values -2 to 8, representing months of delay) and strongly differentiate defaulters from non-defaulters. A defaulter typically shows repeated late payments while a non-defaulter shows consistently on-time payments. With only 63 defaulters in the training set at 1% default rate, the model learns payment status effects from a very small, highly variable sample. Small changes in which 63 defaulters are included across the 30 training iterations produce large changes in the model&apos;s estimated effect of each payment month. SHAP then assigns highly variable importance to these features. Bill amounts are continuous and more normally distributed even within the minority class, making them far less sensitive to which specific defaulters happen to be included.</w:t></w:r></w:p><w:p><w:pPr><w:spacing w:after="40" w:before="40"/></w:pPr><w:r><w:rPr><w:sz w:val="10"/><w:szCs w:val="10"/></w:rPr><w:t xml:space="preserve"></w:t></w:r></w:p><w:p><w:pPr><w:spacing w:after="80" w:before="200"/></w:pPr><w:r><w:rPr><w:rFonts w:ascii="Arial" w:cs="Arial" w:eastAsia="Arial" w:hAnsi="Arial"/><w:b/><w:bCs/><w:color w:val="1E293B"/><w:sz w:val="23"/><w:szCs w:val="23"/></w:rPr><w:t xml:space="preserve">Instability persists at moderate default rates for payment features</w:t></w:r></w:p><w:p><w:pPr><w:spacing w:after="80" w:before="80"/><w:jc w:val="both"/></w:pPr><w:r><w:rPr><w:rFonts w:ascii="Arial" w:cs="Arial" w:eastAsia="Arial" w:hAnsi="Arial"/><w:color w:val="1E293B"/><w:sz w:val="22"/><w:szCs w:val="22"/></w:rPr><w:t xml:space="preserve">Payment status features remain at CV &gt; 1.0 even at 25% default rate, which would be considered a heavily imbalanced dataset in many domains. Bill amount features approach CV ≈ 0.9 at that level — noticeably more stable. For credit card portfolios with typical default rates of 5% to 15%, payment history SHAP values should be treated as potentially unreliable. Practitioners would need a default rate above 25% to bring payment feature stability below the more worrying range.</w:t></w:r></w:p><w:p><w:pPr><w:spacing w:after="40" w:before="40"/></w:pPr><w:r><w:rPr><w:sz w:val="10"/><w:szCs w:val="10"/></w:rPr><w:t xml:space="preserve"></w:t></w:r></w:p><w:p><w:pPr><w:spacing w:after="80" w:before="200"/></w:pPr><w:r><w:rPr><w:rFonts w:ascii="Arial" w:cs="Arial" w:eastAsia="Arial" w:hAnsi="Arial"/><w:b/><w:bCs/><w:color w:val="1E293B"/><w:sz w:val="23"/><w:szCs w:val="23"/></w:rPr><w:t xml:space="preserve">Critical regulatory implication</w:t></w:r></w:p><w:p><w:pPr><w:spacing w:after="80" w:before="80"/><w:jc w:val="both"/></w:pPr><w:r><w:rPr><w:rFonts w:ascii="Arial" w:cs="Arial" w:eastAsia="Arial" w:hAnsi="Arial"/><w:color w:val="1E293B"/><w:sz w:val="22"/><w:szCs w:val="22"/></w:rPr><w:t xml:space="preserve">Adverse action notices under ECOA must cite specific reasons for credit denial. In practice, payment history is the most commonly cited reason — it is the most predictive feature in credit scoring models. Our Experiment E finding is that payment history SHAP values are the least stable of all features under realistic imbalance conditions. A bank citing &apos;payment history&apos; as the primary SHAP-derived reason for a loan denial, when operating on a portfolio with less than 15% default rate, is citing the feature whose SHAP attribution is most likely to change if the model were retrained on a slightly different sample. This is a material explanation reliability risk that aggregate stability analysis — as used in the original paper — completely obscures.</w:t></w:r></w:p><w:p><w:pPr><w:pBdr><w:bottom w:val="single" w:color="CADCFC" w:sz="4"/></w:pBdr><w:spacing w:after="160" w:before="160"/></w:pPr><w:r><w:rPr><w:sz w:val="4"/><w:szCs w:val="4"/></w:rPr><w:t xml:space="preserve"></w:t></w:r></w:p><w:p><w:r><w:br w:type="page"/></w:r></w:p><w:p><w:pPr><w:pStyle w:val="Heading1"/><w:spacing w:after="160" w:before="360"/></w:pPr><w:r><w:rPr><w:rFonts w:ascii="Arial" w:cs="Arial" w:eastAsia="Arial" w:hAnsi="Arial"/><w:b/><w:bCs/><w:color w:val="1E2761"/><w:sz w:val="34"/><w:szCs w:val="34"/></w:rPr><w:t xml:space="preserve">Combined Summary and Final Recommendations</w:t></w:r></w:p><w:p><w:pPr><w:pBdr><w:bottom w:val="single" w:color="CADCFC" w:sz="4"/></w:pBdr><w:spacing w:after="160" w:before="160"/></w:pPr><w:r><w:rPr><w:sz w:val="4"/><w:szCs w:val="4"/></w:rPr><w:t xml:space="preserve"></w:t></w:r></w:p><w:p><w:pPr><w:spacing w:after="80" w:before="80"/><w:jc w:val="both"/></w:pPr><w:r><w:rPr><w:rFonts w:ascii="Arial" w:cs="Arial" w:eastAsia="Arial" w:hAnsi="Arial"/><w:color w:val="1E293B"/><w:sz w:val="22"/><w:szCs w:val="22"/></w:rPr><w:t xml:space="preserve">Across all four experiments, a consistent explanation for SHAP instability emerges. Tree SHAP computes interventional expectations over a background dataset (Equation 5 of Chen et al. 2024). When that background dataset is imbalanced — as it is whenever the training set is imbalanced — SHAP&apos;s reference distribution for minority class predictions is unreliable. Every intervention that improves minority class representation in the background improves stability. Every intervention that reduces minority representation makes it worse. This is the unified mechanism behind all results.</w:t></w:r></w:p><w:p><w:pPr><w:spacing w:after="40" w:before="40"/></w:pPr><w:r><w:rPr><w:sz w:val="10"/><w:szCs w:val="10"/></w:rPr><w:t xml:space="preserve"></w:t></w:r></w:p><0/><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Five-Step Practical Framework for Practitioners</w:t></w:r></w:p><w:p><w:pPr><w:pStyle w:val="ListParagraph"/><w:numPr><w:ilvl w:val="0"/><w:numId w:val="2"/></w:numPr><w:spacing w:after="60" w:before="60"/></w:pPr><w:r><w:rPr><w:rFonts w:ascii="Arial" w:cs="Arial" w:eastAsia="Arial" w:hAnsi="Arial"/><w:b/><w:bCs/><w:color w:val="1E293B"/><w:sz w:val="22"/><w:szCs w:val="22"/></w:rPr><w:t xml:space="preserve">Step 1: Assess imbalance.</w:t></w:r><w:r><w:rPr><w:rFonts w:ascii="Arial" w:cs="Arial" w:eastAsia="Arial" w:hAnsi="Arial"/><w:color w:val="1E293B"/><w:sz w:val="22"/><w:szCs w:val="22"/></w:rPr><w:t xml:space="preserve">If your default rate is below 5%, treat all SHAP values as potentially unreliable. Below 1%, treat them as unreliable without qualification.</w:t></w:r></w:p><w:p><w:pPr><w:pStyle w:val="ListParagraph"/><w:numPr><w:ilvl w:val="0"/><w:numId w:val="2"/></w:numPr><w:spacing w:after="60" w:before="60"/></w:pPr><w:r><w:rPr><w:rFonts w:ascii="Arial" w:cs="Arial" w:eastAsia="Arial" w:hAnsi="Arial"/><w:b/><w:bCs/><w:color w:val="1E293B"/><w:sz w:val="22"/><w:szCs w:val="22"/></w:rPr><w:t xml:space="preserve">Step 2: Change SHAP&apos;s background first (Exp D).</w:t></w:r><w:r><w:rPr><w:rFonts w:ascii="Arial" w:cs="Arial" w:eastAsia="Arial" w:hAnsi="Arial"/><w:color w:val="1E293B"/><w:sz w:val="22"/><w:szCs w:val="22"/></w:rPr><w:t xml:space="preserve">Pass a class-balanced or minority-only subset as the data= argument to shap.TreeExplainer. This single change provides the largest stability improvement (8.2%) at zero training cost.</w:t></w:r></w:p><w:p><w:pPr><w:pStyle w:val="ListParagraph"/><w:numPr><w:ilvl w:val="0"/><w:numId w:val="2"/></w:numPr><w:spacing w:after="60" w:before="60"/></w:pPr><w:r><w:rPr><w:rFonts w:ascii="Arial" w:cs="Arial" w:eastAsia="Arial" w:hAnsi="Arial"/><w:b/><w:bCs/><w:color w:val="1E293B"/><w:sz w:val="22"/><w:szCs w:val="22"/></w:rPr><w:t xml:space="preserve">Step 3: If resampling is also required for accuracy, use SMOTE.</w:t></w:r><w:r><w:rPr><w:rFonts w:ascii="Arial" w:cs="Arial" w:eastAsia="Arial" w:hAnsi="Arial"/><w:color w:val="1E293B"/><w:sz w:val="22"/><w:szCs w:val="22"/></w:rPr><w:t xml:space="preserve">It provides an additional 3.5% CV improvement and introduces no fairness bias between classes. Never use RUS when generating SHAP explanations.</w:t></w:r></w:p><w:p><w:pPr><w:pStyle w:val="ListParagraph"/><w:numPr><w:ilvl w:val="0"/><w:numId w:val="2"/></w:numPr><w:spacing w:after="60" w:before="60"/></w:pPr><w:r><w:rPr><w:rFonts w:ascii="Arial" w:cs="Arial" w:eastAsia="Arial" w:hAnsi="Arial"/><w:b/><w:bCs/><w:color w:val="1E293B"/><w:sz w:val="22"/><w:szCs w:val="22"/></w:rPr><w:t xml:space="preserve">Step 4: Apply extra scrutiny to payment history features (Exp E).</w:t></w:r><w:r><w:rPr><w:rFonts w:ascii="Arial" w:cs="Arial" w:eastAsia="Arial" w:hAnsi="Arial"/><w:color w:val="1E293B"/><w:sz w:val="22"/><w:szCs w:val="22"/></w:rPr><w:t xml:space="preserve">SHAP values for pay_0 through pay_6 are 2× less stable than other features. If these are cited in adverse action notices, document their instability and consider stability-weighted reporting.</w:t></w:r></w:p><w:p><w:pPr><w:pStyle w:val="ListParagraph"/><w:numPr><w:ilvl w:val="0"/><w:numId w:val="2"/></w:numPr><w:spacing w:after="60" w:before="60"/></w:pPr><w:r><w:rPr><w:rFonts w:ascii="Arial" w:cs="Arial" w:eastAsia="Arial" w:hAnsi="Arial"/><w:b/><w:bCs/><w:color w:val="1E293B"/><w:sz w:val="22"/><w:szCs w:val="22"/></w:rPr><w:t xml:space="preserve">Step 5: Test stability universally, not just for rejected applicants (Exp C).</w:t></w:r><w:r><w:rPr><w:rFonts w:ascii="Arial" w:cs="Arial" w:eastAsia="Arial" w:hAnsi="Arial"/><w:color w:val="1E293B"/><w:sz w:val="22"/><w:szCs w:val="22"/></w:rPr><w:t xml:space="preserve">Both approval and denial explanations are equally affected. ECOA and GDPR compliance requires explanation reliability for all decisions.</w:t></w:r></w:p><w:p><w:pPr><w:spacing w:after="40" w:before="40"/></w:pPr><w:r><w:rPr><w:sz w:val="10"/><w:szCs w:val="10"/></w:rPr><w:t xml:space="preserve"></w:t></w:r></w:p><w:p><w:pPr><w:pStyle w:val="Heading2"/><w:spacing w:after="120" w:before="280"/></w:pPr><w:r><w:rPr><w:rFonts w:ascii="Arial" w:cs="Arial" w:eastAsia="Arial" w:hAnsi="Arial"/><w:b/><w:bCs/><w:color w:val="1E2761"/><w:sz w:val="26"/><w:szCs w:val="26"/></w:rPr><w:t xml:space="preserve">References</w:t></w:r></w:p><w:p><w:pPr><w:spacing w:after="80" w:before="80"/><w:jc w:val="both"/></w:pPr><w:r><w:rPr><w:rFonts w:ascii="Arial" w:cs="Arial" w:eastAsia="Arial" w:hAnsi="Arial"/><w:color w:val="1E293B"/><w:sz w:val="22"/><w:szCs w:val="22"/></w:rPr><w:t xml:space="preserve">Chen, Y., Calabrese, R., &amp; Martin-Barragan, B. (2024). Interpretable machine learning for imbalanced credit scoring datasets. European Journal of Operational Research, 312, 357–372.</w:t></w:r></w:p><w:p><w:pPr><w:spacing w:after="80" w:before="80"/><w:jc w:val="both"/></w:pPr><w:r><w:rPr><w:rFonts w:ascii="Arial" w:cs="Arial" w:eastAsia="Arial" w:hAnsi="Arial"/><w:color w:val="1E293B"/><w:sz w:val="22"/><w:szCs w:val="22"/></w:rPr><w:t xml:space="preserve">Chawla, N. V., Bowyer, K. W., Hall, L. O., &amp; Kegelmeyer, W. P. (2002). SMOTE: Synthetic minority over-sampling technique. Journal of Artificial Intelligence Research, 16, 321–357.</w:t></w:r></w:p><w:p><w:pPr><w:spacing w:after="80" w:before="80"/><w:jc w:val="both"/></w:pPr><w:r><w:rPr><w:rFonts w:ascii="Arial" w:cs="Arial" w:eastAsia="Arial" w:hAnsi="Arial"/><w:color w:val="1E293B"/><w:sz w:val="22"/><w:szCs w:val="22"/></w:rPr><w:t xml:space="preserve">He, H., Bai, Y., Garcia, E. A., &amp; Li, S. (2008). ADASYN: Adaptive synthetic sampling approach for imbalanced learning. IEEE International Joint Conference on Neural Networks, 1322–1328.</w:t></w:r></w:p><w:p><w:pPr><w:spacing w:after="80" w:before="80"/><w:jc w:val="both"/></w:pPr><w:r><w:rPr><w:rFonts w:ascii="Arial" w:cs="Arial" w:eastAsia="Arial" w:hAnsi="Arial"/><w:color w:val="1E293B"/><w:sz w:val="22"/><w:szCs w:val="22"/></w:rPr><w:t xml:space="preserve">Lundberg, S. M., Erion, G., Chen, H., et al. (2020). From local explanations to global understanding with explainable AI for trees. Nature Machine Intelligence, 2(1), 56–67.</w:t></w:r></w:p><w:p><w:pPr><w:spacing w:after="80" w:before="80"/><w:jc w:val="both"/></w:pPr><w:r><w:rPr><w:rFonts w:ascii="Arial" w:cs="Arial" w:eastAsia="Arial" w:hAnsi="Arial"/><w:color w:val="1E293B"/><w:sz w:val="22"/><w:szCs w:val="22"/></w:rPr><w:t xml:space="preserve">Lundberg, S. M., &amp; Lee, S. I. (2017). A unified approach to interpreting model predictions. Advances in Neural Information Processing Systems, 30, 4768–4777.</w:t></w:r></w:p><w:sectPr><w:footerReference w:type="default" r:id="rId7"/><w:pgSz w:w="12240" w:h="15840" w:orient="portrait"/><w:pgMar w:top="1440" w:right="1260" w:bottom="1440" w:left="126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DS357 Explainable AI  |  Phase 3 Full Experiment Report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761"/>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2026-04-09T05:57:28.390Z</dcterms:created>
  <dcterms:modified xsi:type="dcterms:W3CDTF">2026-04-09T05:57:28.391Z</dcterms:modified>
</cp:coreProperties>
</file>

<file path=docProps/custom.xml><?xml version="1.0" encoding="utf-8"?>
<Properties xmlns="http://schemas.openxmlformats.org/officeDocument/2006/custom-properties" xmlns:vt="http://schemas.openxmlformats.org/officeDocument/2006/docPropsVTypes"/>
</file>