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4691"/>
          <w:sz w:val="36"/>
          <w:szCs w:val="36"/>
        </w:rPr>
        <w:t xml:space="preserve">DS357 – Explainable AI</w:t>
      </w:r>
    </w:p>
    <w:p>
      <w:pPr>
        <w:spacing w:after="200" w:before="0"/>
        <w:jc w:val="center"/>
      </w:pPr>
      <w:r>
        <w:rPr>
          <w:rFonts w:ascii="Arial" w:cs="Arial" w:eastAsia="Arial" w:hAnsi="Arial"/>
          <w:b/>
          <w:bCs/>
          <w:color w:val="1A3366"/>
          <w:sz w:val="28"/>
          <w:szCs w:val="28"/>
        </w:rPr>
        <w:t xml:space="preserve">Phase 3: Research Gap Identification and Extension</w:t>
      </w:r>
    </w:p>
    <w:p>
      <w:pPr>
        <w:spacing w:after="80" w:before="80"/>
        <w:jc w:val="center"/>
      </w:pPr>
      <w:r>
        <w:rPr>
          <w:rFonts w:ascii="Arial" w:cs="Arial" w:eastAsia="Arial" w:hAnsi="Arial"/>
          <w:i/>
          <w:iCs/>
          <w:color w:val="444444"/>
          <w:sz w:val="22"/>
          <w:szCs w:val="22"/>
        </w:rPr>
        <w:t xml:space="preserve">Replication of: Chen, Calabrese &amp; Martin-Barragan (EJOR 2024)</w:t>
      </w:r>
    </w:p>
    <w:p>
      <w:pPr>
        <w:spacing w:after="1440" w:before="80"/>
        <w:jc w:val="center"/>
      </w:pPr>
      <w:r>
        <w:rPr>
          <w:rFonts w:ascii="Arial" w:cs="Arial" w:eastAsia="Arial" w:hAnsi="Arial"/>
          <w:color w:val="666666"/>
          <w:sz w:val="22"/>
          <w:szCs w:val="22"/>
        </w:rPr>
        <w:t xml:space="preserve">Dataset: Taiwan Credit Card Default | Model: XGBoost | XAI: SHAP</w:t>
      </w:r>
    </w:p>
    <w:p>
      <w:pPr>
        <w:pStyle w:val="Heading1"/>
        <w:spacing w:after="160" w:before="320"/>
      </w:pPr>
      <w:r>
        <w:rPr>
          <w:rFonts w:ascii="Arial" w:cs="Arial" w:eastAsia="Arial" w:hAnsi="Arial"/>
          <w:b/>
          <w:bCs/>
          <w:color w:val="2E4691"/>
          <w:sz w:val="32"/>
          <w:szCs w:val="32"/>
        </w:rPr>
        <w:t xml:space="preserve">1. Introduction</w:t>
      </w:r>
    </w:p>
    <w:p>
      <w:pPr>
        <w:spacing w:after="80" w:before="80"/>
        <w:jc w:val="both"/>
      </w:pPr>
      <w:r>
        <w:rPr>
          <w:rFonts w:ascii="Arial" w:cs="Arial" w:eastAsia="Arial" w:hAnsi="Arial"/>
          <w:sz w:val="22"/>
          <w:szCs w:val="22"/>
        </w:rPr>
        <w:t xml:space="preserve">The paper by Chen et al. (2024) demonstrated that class imbalance has a significant adverse effect on the stability of model-agnostic interpretation methods, specifically LIME and SHAP, in the credit scoring domain. Their key finding is that as the proportion of defaulters decreases toward 1%, the feature importance rankings and values generated by SHAP become increasingly unstable — making explanations unreliable and potentially violating regulations such as ECOA and GDPR.</w:t>
      </w:r>
    </w:p>
    <w:p>
      <w:pPr>
        <w:spacing w:after="60" w:before="60"/>
      </w:pPr>
      <w:r>
        <w:rPr>
          <w:sz w:val="22"/>
          <w:szCs w:val="22"/>
        </w:rPr>
        <w:t xml:space="preserve"/>
      </w:r>
    </w:p>
    <w:p>
      <w:pPr>
        <w:spacing w:after="80" w:before="80"/>
        <w:jc w:val="both"/>
      </w:pPr>
      <w:r>
        <w:rPr>
          <w:rFonts w:ascii="Arial" w:cs="Arial" w:eastAsia="Arial" w:hAnsi="Arial"/>
          <w:sz w:val="22"/>
          <w:szCs w:val="22"/>
        </w:rPr>
        <w:t xml:space="preserve">While the original paper thoroughly quantifies this instability problem, it explicitly leaves open the question of whether standard imbalanced-learning correction techniques can restore SHAP stability. In Section 7 (Future Work), the authors write:</w:t>
      </w:r>
    </w:p>
    <w:p>
      <w:pPr>
        <w:spacing w:after="120" w:before="120"/>
        <w:ind w:left="720" w:right="720"/>
      </w:pPr>
      <w:r>
        <w:rPr>
          <w:rFonts w:ascii="Arial" w:cs="Arial" w:eastAsia="Arial" w:hAnsi="Arial"/>
          <w:i/>
          <w:iCs/>
          <w:color w:val="444444"/>
          <w:sz w:val="22"/>
          <w:szCs w:val="22"/>
        </w:rPr>
        <w:t xml:space="preserve">"The potential effects of these imbalanced learning techniques on the performance of interpretation methods could be investigated in future research."</w:t>
      </w:r>
    </w:p>
    <w:p>
      <w:pPr>
        <w:spacing w:after="80" w:before="80"/>
        <w:jc w:val="both"/>
      </w:pPr>
      <w:r>
        <w:rPr>
          <w:rFonts w:ascii="Arial" w:cs="Arial" w:eastAsia="Arial" w:hAnsi="Arial"/>
          <w:sz w:val="22"/>
          <w:szCs w:val="22"/>
        </w:rPr>
        <w:t xml:space="preserve">This Phase 3 extension directly answers that open question by testing four widely-used imbalance correction strategies against a no-correction baseline, measuring their effect on SHAP stability across the full spectrum of default rates.</w:t>
      </w:r>
    </w:p>
    <w:p>
      <w:pPr>
        <w:pStyle w:val="Heading1"/>
        <w:spacing w:after="160" w:before="320"/>
      </w:pPr>
      <w:r>
        <w:rPr>
          <w:rFonts w:ascii="Arial" w:cs="Arial" w:eastAsia="Arial" w:hAnsi="Arial"/>
          <w:b/>
          <w:bCs/>
          <w:color w:val="2E4691"/>
          <w:sz w:val="32"/>
          <w:szCs w:val="32"/>
        </w:rPr>
        <w:t xml:space="preserve">2. Research Gap</w:t>
      </w:r>
    </w:p>
    <w:p>
      <w:pPr>
        <w:spacing w:after="80" w:before="80"/>
        <w:jc w:val="both"/>
      </w:pPr>
      <w:r>
        <w:rPr>
          <w:rFonts w:ascii="Arial" w:cs="Arial" w:eastAsia="Arial" w:hAnsi="Arial"/>
          <w:sz w:val="22"/>
          <w:szCs w:val="22"/>
        </w:rPr>
        <w:t xml:space="preserve">The original paper establishes that class imbalance degrades SHAP interpretability. However, it does not investigate whether this degradation can be remedied. Practitioners who discover their dataset is imbalanced have several well-known tools available — oversampling (SMOTE, ADASYN), undersampling (RUS), and cost-sensitive learning. The paper does not tell them whether using any of these tools will produce more trustworthy SHAP explanations.</w:t>
      </w:r>
    </w:p>
    <w:p>
      <w:pPr>
        <w:spacing w:after="60" w:before="60"/>
      </w:pPr>
      <w:r>
        <w:rPr>
          <w:sz w:val="22"/>
          <w:szCs w:val="22"/>
        </w:rPr>
        <w:t xml:space="preserve"/>
      </w:r>
    </w:p>
    <w:p>
      <w:pPr>
        <w:spacing w:after="80" w:before="80"/>
        <w:jc w:val="both"/>
      </w:pPr>
      <w:r>
        <w:rPr>
          <w:rFonts w:ascii="Arial" w:cs="Arial" w:eastAsia="Arial" w:hAnsi="Arial"/>
          <w:sz w:val="22"/>
          <w:szCs w:val="22"/>
        </w:rPr>
        <w:t xml:space="preserve">This gap is practically significant. A financial institution using XGBoost on a mortgage portfolio (0.3–0.6% default rate) might apply SMOTE before training to improve predictive accuracy. Our research question is: does this practice also improve or harm the stability of the SHAP explanations generated from that model?</w:t>
      </w:r>
    </w:p>
    <w:p>
      <w:pPr>
        <w:pStyle w:val="Heading1"/>
        <w:spacing w:after="160" w:before="320"/>
      </w:pPr>
      <w:r>
        <w:rPr>
          <w:rFonts w:ascii="Arial" w:cs="Arial" w:eastAsia="Arial" w:hAnsi="Arial"/>
          <w:b/>
          <w:bCs/>
          <w:color w:val="2E4691"/>
          <w:sz w:val="32"/>
          <w:szCs w:val="32"/>
        </w:rPr>
        <w:t xml:space="preserve">3. Methodology</w:t>
      </w:r>
    </w:p>
    <w:p>
      <w:pPr>
        <w:pStyle w:val="Heading2"/>
        <w:spacing w:after="120" w:before="240"/>
      </w:pPr>
      <w:r>
        <w:rPr>
          <w:rFonts w:ascii="Arial" w:cs="Arial" w:eastAsia="Arial" w:hAnsi="Arial"/>
          <w:b/>
          <w:bCs/>
          <w:color w:val="1A3366"/>
          <w:sz w:val="26"/>
          <w:szCs w:val="26"/>
        </w:rPr>
        <w:t xml:space="preserve">3.1 Experimental Setup</w:t>
      </w:r>
    </w:p>
    <w:p>
      <w:pPr>
        <w:spacing w:after="80" w:before="80"/>
        <w:jc w:val="both"/>
      </w:pPr>
      <w:r>
        <w:rPr>
          <w:rFonts w:ascii="Arial" w:cs="Arial" w:eastAsia="Arial" w:hAnsi="Arial"/>
          <w:sz w:val="22"/>
          <w:szCs w:val="22"/>
        </w:rPr>
        <w:t xml:space="preserve">We follow the identical experimental framework from the original paper (Figure 1, Chen et al. 2024). The Taiwan Credit Card Default Dataset was used, containing 30,000 observations with 23 features and a default rate of approximately 22% in the full dataset. We apply the same controlled sampling procedure — building 12 training sets with default rates from 1% to 50% while fixing sample size at 6,258 — and evaluate SHAP stability across 30 iterations per condition.</w:t>
      </w:r>
    </w:p>
    <w:p>
      <w:pPr>
        <w:spacing w:after="60" w:before="60"/>
      </w:pPr>
      <w:r>
        <w:rPr>
          <w:sz w:val="22"/>
          <w:szCs w:val="22"/>
        </w:rPr>
        <w:t xml:space="preserve"/>
      </w:r>
    </w:p>
    <w:p>
      <w:pPr>
        <w:pStyle w:val="Heading2"/>
        <w:spacing w:after="120" w:before="240"/>
      </w:pPr>
      <w:r>
        <w:rPr>
          <w:rFonts w:ascii="Arial" w:cs="Arial" w:eastAsia="Arial" w:hAnsi="Arial"/>
          <w:b/>
          <w:bCs/>
          <w:color w:val="1A3366"/>
          <w:sz w:val="26"/>
          <w:szCs w:val="26"/>
        </w:rPr>
        <w:t xml:space="preserve">3.2 Imbalance Correction Strategies</w:t>
      </w:r>
    </w:p>
    <w:p>
      <w:pPr>
        <w:spacing w:after="80" w:before="80"/>
        <w:jc w:val="left"/>
      </w:pPr>
      <w:r>
        <w:rPr>
          <w:rFonts w:ascii="Arial" w:cs="Arial" w:eastAsia="Arial" w:hAnsi="Arial"/>
          <w:sz w:val="22"/>
          <w:szCs w:val="22"/>
        </w:rPr>
        <w:t xml:space="preserve">We compare five conditions: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20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correction applied — replicates the original paper's approach</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SMOTE</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Oversampling</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Synthetic Minority Oversampling Technique (Chawla et al., 2002) — creates synthetic minority samples by interpolation between existing minority instances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ADASYN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Oversampling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 Synthetic Sampling (He et al., 2008) — focuses synthetic generation on harder-to-learn minority instances</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RUS</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Undersampling</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Random Under-Sampling — randomly removes majority class instances to achieve target balance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Cost-Sensitive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Algorithm-level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scale_pos_weight parameter set to n_negative/n_positive — penalises misclassification of minority class without modifying data</w:t>
            </w:r>
          </w:p>
        </w:tc>
      </w:tr>
    </w:tbl>
    <w:p>
      <w:pPr>
        <w:spacing w:after="60" w:before="60"/>
      </w:pPr>
      <w:r>
        <w:rPr>
          <w:sz w:val="22"/>
          <w:szCs w:val="22"/>
        </w:rPr>
        <w:t xml:space="preserve"/>
      </w:r>
    </w:p>
    <w:p>
      <w:pPr>
        <w:pStyle w:val="Heading2"/>
        <w:spacing w:after="120" w:before="240"/>
      </w:pPr>
      <w:r>
        <w:rPr>
          <w:rFonts w:ascii="Arial" w:cs="Arial" w:eastAsia="Arial" w:hAnsi="Arial"/>
          <w:b/>
          <w:bCs/>
          <w:color w:val="1A3366"/>
          <w:sz w:val="26"/>
          <w:szCs w:val="26"/>
        </w:rPr>
        <w:t xml:space="preserve">3.3 Stability Metrics</w:t>
      </w:r>
    </w:p>
    <w:p>
      <w:pPr>
        <w:spacing w:after="80" w:before="80"/>
        <w:jc w:val="left"/>
      </w:pPr>
      <w:r>
        <w:rPr>
          <w:rFonts w:ascii="Arial" w:cs="Arial" w:eastAsia="Arial" w:hAnsi="Arial"/>
          <w:sz w:val="22"/>
          <w:szCs w:val="22"/>
        </w:rPr>
        <w:t xml:space="preserve">Following the original paper, we use two complementary metrics to evaluate SHAP stability:</w:t>
      </w:r>
    </w:p>
    <w:p>
      <w:pPr>
        <w:pStyle w:val="ListParagraph"/>
        <w:numPr>
          <w:ilvl w:val="0"/>
          <w:numId w:val="2"/>
        </w:numPr>
        <w:spacing w:after="60" w:before="60"/>
      </w:pPr>
      <w:r>
        <w:rPr>
          <w:rFonts w:ascii="Arial" w:cs="Arial" w:eastAsia="Arial" w:hAnsi="Arial"/>
          <w:sz w:val="22"/>
          <w:szCs w:val="22"/>
        </w:rPr>
        <w:t xml:space="preserve">SHAP CV (Coefficient of Variation): Measures the variability of absolute SHAP values for each feature across 30 repeated iterations. Higher CV = less stable. Computed per Equation (8)-(9) of Chen et al. (2024).</w:t>
      </w:r>
    </w:p>
    <w:p>
      <w:pPr>
        <w:pStyle w:val="ListParagraph"/>
        <w:numPr>
          <w:ilvl w:val="0"/>
          <w:numId w:val="2"/>
        </w:numPr>
        <w:spacing w:after="60" w:before="60"/>
      </w:pPr>
      <w:r>
        <w:rPr>
          <w:rFonts w:ascii="Arial" w:cs="Arial" w:eastAsia="Arial" w:hAnsi="Arial"/>
          <w:sz w:val="22"/>
          <w:szCs w:val="22"/>
        </w:rPr>
        <w:t xml:space="preserve">SHAP SRA (Sequential Rank Agreement): Measures consistency of feature importance rankings across iterations. Higher SRA = less stable rankings. Computed per Equation (6)-(7) of Chen et al. (2024).</w:t>
      </w:r>
    </w:p>
    <w:p>
      <w:pPr>
        <w:spacing w:after="60" w:before="60"/>
      </w:pPr>
      <w:r>
        <w:rPr>
          <w:sz w:val="22"/>
          <w:szCs w:val="22"/>
        </w:rPr>
        <w:t xml:space="preserve"/>
      </w:r>
    </w:p>
    <w:p>
      <w:pPr>
        <w:spacing w:after="80" w:before="80"/>
        <w:jc w:val="both"/>
      </w:pPr>
      <w:r>
        <w:rPr>
          <w:rFonts w:ascii="Arial" w:cs="Arial" w:eastAsia="Arial" w:hAnsi="Arial"/>
          <w:sz w:val="22"/>
          <w:szCs w:val="22"/>
        </w:rPr>
        <w:t xml:space="preserve">Our hypothesis was that cost-sensitive XGBoost would outperform resampling strategies because it modifies class penalties without altering the training data distribution, thereby reducing the additional randomness that LIME and SHAP's sampling procedures are sensitive to.</w:t>
      </w:r>
    </w:p>
    <w:p>
      <w:pPr>
        <w:pStyle w:val="Heading1"/>
        <w:spacing w:after="160" w:before="320"/>
      </w:pPr>
      <w:r>
        <w:rPr>
          <w:rFonts w:ascii="Arial" w:cs="Arial" w:eastAsia="Arial" w:hAnsi="Arial"/>
          <w:b/>
          <w:bCs/>
          <w:color w:val="2E4691"/>
          <w:sz w:val="32"/>
          <w:szCs w:val="32"/>
        </w:rPr>
        <w:t xml:space="preserve">4. Results</w:t>
      </w:r>
    </w:p>
    <w:p>
      <w:pPr>
        <w:pStyle w:val="Heading2"/>
        <w:spacing w:after="120" w:before="240"/>
      </w:pPr>
      <w:r>
        <w:rPr>
          <w:rFonts w:ascii="Arial" w:cs="Arial" w:eastAsia="Arial" w:hAnsi="Arial"/>
          <w:b/>
          <w:bCs/>
          <w:color w:val="1A3366"/>
          <w:sz w:val="26"/>
          <w:szCs w:val="26"/>
        </w:rPr>
        <w:t xml:space="preserve">4.1 SHAP CV Results (Feature Importance Value Stability)</w:t>
      </w:r>
    </w:p>
    <w:p>
      <w:pPr>
        <w:spacing w:after="80" w:before="80"/>
        <w:jc w:val="left"/>
      </w:pPr>
      <w:r>
        <w:rPr>
          <w:rFonts w:ascii="Arial" w:cs="Arial" w:eastAsia="Arial" w:hAnsi="Arial"/>
          <w:sz w:val="22"/>
          <w:szCs w:val="22"/>
        </w:rPr>
        <w:t xml:space="preserve">Table 1 reports SHAP CV values at selected default rates. Lower values indicate more stable explanations.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Default Rate</w:t>
            </w:r>
          </w:p>
        </w:tc>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SMOTE</w:t>
            </w:r>
          </w:p>
        </w:tc>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ADASYN</w:t>
            </w:r>
          </w:p>
        </w:tc>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RUS</w:t>
            </w:r>
          </w:p>
        </w:tc>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Cost-Sensitive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0.8457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0.8158*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0.8159*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0.8799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0.8435</w:t>
            </w:r>
          </w:p>
        </w:tc>
      </w:tr>
      <w:tr>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2.5%</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0.8427</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0.7642*</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0.7772*</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0.8268</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0.8345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0.8114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0.8033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0.8041</w:t>
            </w:r>
          </w:p>
        </w:tc>
      </w:tr>
      <w:tr>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0.7640</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0.6608*</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0.6551*</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0.7725</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0.7633</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0.6884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0.6315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0.7019</w:t>
            </w:r>
          </w:p>
        </w:tc>
      </w:tr>
      <w:tr>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50%</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0.6510</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0.6510</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0.6510</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0.6349</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0.6510</w:t>
            </w:r>
          </w:p>
        </w:tc>
      </w:tr>
    </w:tbl>
    <w:p>
      <w:pPr>
        <w:spacing w:after="160" w:before="80"/>
      </w:pPr>
      <w:r>
        <w:rPr>
          <w:rFonts w:ascii="Arial" w:cs="Arial" w:eastAsia="Arial" w:hAnsi="Arial"/>
          <w:i/>
          <w:iCs/>
          <w:color w:val="666666"/>
          <w:sz w:val="18"/>
          <w:szCs w:val="18"/>
        </w:rPr>
        <w:t xml:space="preserve">Table 1: SHAP CV across strategies at selected default rates. * denotes best-performing strategies at each rate. Lower = more stable.</w:t>
      </w:r>
    </w:p>
    <w:p>
      <w:pPr>
        <w:pStyle w:val="Heading2"/>
        <w:spacing w:after="120" w:before="240"/>
      </w:pPr>
      <w:r>
        <w:rPr>
          <w:rFonts w:ascii="Arial" w:cs="Arial" w:eastAsia="Arial" w:hAnsi="Arial"/>
          <w:b/>
          <w:bCs/>
          <w:color w:val="1A3366"/>
          <w:sz w:val="26"/>
          <w:szCs w:val="26"/>
        </w:rPr>
        <w:t xml:space="preserve">4.2 SHAP SRA Results (Feature Ranking Stability)</w:t>
      </w:r>
    </w:p>
    <w:p>
      <w:pPr>
        <w:spacing w:after="80" w:before="80"/>
        <w:jc w:val="left"/>
      </w:pPr>
      <w:r>
        <w:rPr>
          <w:rFonts w:ascii="Arial" w:cs="Arial" w:eastAsia="Arial" w:hAnsi="Arial"/>
          <w:sz w:val="22"/>
          <w:szCs w:val="22"/>
        </w:rPr>
        <w:t xml:space="preserve">Table 2 reports SHAP SRA values at selected default rates. Lower values indicate more stable feature rankings.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Default Rate</w:t>
            </w:r>
          </w:p>
        </w:tc>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SMOTE</w:t>
            </w:r>
          </w:p>
        </w:tc>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ADASYN</w:t>
            </w:r>
          </w:p>
        </w:tc>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RUS</w:t>
            </w:r>
          </w:p>
        </w:tc>
        <w:tc>
          <w:tcPr>
            <w:tcW w:type="dxa" w:w="1560"/>
            <w:tcBorders>
              <w:top w:val="single" w:color="2E4691" w:sz="1"/>
              <w:left w:val="single" w:color="2E4691" w:sz="1"/>
              <w:bottom w:val="single" w:color="2E4691" w:sz="1"/>
              <w:right w:val="single" w:color="2E4691" w:sz="1"/>
            </w:tcBorders>
            <w:shd w:fill="2E4691" w:val="clear"/>
            <w:tcMar>
              <w:top w:type="dxa" w:w="80"/>
              <w:left w:type="dxa" w:w="120"/>
              <w:bottom w:type="dxa" w:w="80"/>
              <w:right w:type="dxa" w:w="120"/>
            </w:tcMar>
          </w:tcPr>
          <w:p>
            <w:r>
              <w:rPr>
                <w:rFonts w:ascii="Arial" w:cs="Arial" w:eastAsia="Arial" w:hAnsi="Arial"/>
                <w:b/>
                <w:bCs/>
                <w:color w:val="FFFFFF"/>
                <w:sz w:val="20"/>
                <w:szCs w:val="20"/>
              </w:rPr>
              <w:t xml:space="preserve">Cost-Sensitive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31.75</w:t>
            </w:r>
          </w:p>
        </w:tc>
      </w:tr>
      <w:tr>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2.5%</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31.12</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26.10*</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25.78*</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32.67</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29.71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28.60</w:t>
            </w:r>
          </w:p>
        </w:tc>
      </w:tr>
      <w:tr>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27.93</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18.10*</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17.39*</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30.69</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27.46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23.24</w:t>
            </w:r>
          </w:p>
        </w:tc>
      </w:tr>
      <w:tr>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50%</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19.86</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19.86</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19.86</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18.79*</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19.86</w:t>
            </w:r>
          </w:p>
        </w:tc>
      </w:tr>
    </w:tbl>
    <w:p>
      <w:pPr>
        <w:spacing w:after="160" w:before="80"/>
      </w:pPr>
      <w:r>
        <w:rPr>
          <w:rFonts w:ascii="Arial" w:cs="Arial" w:eastAsia="Arial" w:hAnsi="Arial"/>
          <w:i/>
          <w:iCs/>
          <w:color w:val="666666"/>
          <w:sz w:val="18"/>
          <w:szCs w:val="18"/>
        </w:rPr>
        <w:t xml:space="preserve">Table 2: SHAP SRA across strategies. * denotes best-performing strategy. Lower = more stable. RUS worsens ranking stability consistently except at 50%.</w:t>
      </w:r>
    </w:p>
    <w:p>
      <w:pPr>
        <w:pStyle w:val="Heading1"/>
        <w:spacing w:after="160" w:before="320"/>
      </w:pPr>
      <w:r>
        <w:rPr>
          <w:rFonts w:ascii="Arial" w:cs="Arial" w:eastAsia="Arial" w:hAnsi="Arial"/>
          <w:b/>
          <w:bCs/>
          <w:color w:val="2E4691"/>
          <w:sz w:val="32"/>
          <w:szCs w:val="32"/>
        </w:rPr>
        <w:t xml:space="preserve">5. Analysis and Key Findings</w:t>
      </w:r>
    </w:p>
    <w:p>
      <w:pPr>
        <w:pStyle w:val="Heading2"/>
        <w:spacing w:after="120" w:before="240"/>
      </w:pPr>
      <w:r>
        <w:rPr>
          <w:rFonts w:ascii="Arial" w:cs="Arial" w:eastAsia="Arial" w:hAnsi="Arial"/>
          <w:b/>
          <w:bCs/>
          <w:color w:val="1A3366"/>
          <w:sz w:val="26"/>
          <w:szCs w:val="26"/>
        </w:rPr>
        <w:t xml:space="preserve">Finding 1: Oversampling (SMOTE/ADASYN) provides the most improvement</w:t>
      </w:r>
    </w:p>
    <w:p>
      <w:pPr>
        <w:spacing w:after="80" w:before="80"/>
        <w:jc w:val="both"/>
      </w:pPr>
      <w:r>
        <w:rPr>
          <w:rFonts w:ascii="Arial" w:cs="Arial" w:eastAsia="Arial" w:hAnsi="Arial"/>
          <w:sz w:val="22"/>
          <w:szCs w:val="22"/>
        </w:rPr>
        <w:t xml:space="preserve">SMOTE and ADASYN are the clear winners on both metrics. At 1% default rate, SMOTE reduces SHAP CV from 0.846 (baseline) to 0.816 — a 3.5% improvement. On SHAP SRA, the improvement is more pronounced: from 32.56 down to 30.18 (a 7.3% improvement). ADASYN performs nearly identically to SMOTE across all default rates, suggesting adaptive synthetic generation offers no additional benefit over standard SMOTE for SHAP stability.</w:t>
      </w:r>
    </w:p>
    <w:p>
      <w:pPr>
        <w:spacing w:after="60" w:before="60"/>
      </w:pPr>
      <w:r>
        <w:rPr>
          <w:sz w:val="22"/>
          <w:szCs w:val="22"/>
        </w:rPr>
        <w:t xml:space="preserve"/>
      </w:r>
    </w:p>
    <w:p>
      <w:pPr>
        <w:spacing w:after="80" w:before="80"/>
        <w:jc w:val="both"/>
      </w:pPr>
      <w:r>
        <w:rPr>
          <w:rFonts w:ascii="Arial" w:cs="Arial" w:eastAsia="Arial" w:hAnsi="Arial"/>
          <w:sz w:val="22"/>
          <w:szCs w:val="22"/>
        </w:rPr>
        <w:t xml:space="preserve">Crucially, even the best strategy (SMOTE/ADASYN) does not eliminate the problem. At 1% default rate, SHAP CV remains at 0.816 — well above the balanced-dataset value of 0.651. This means oversampling partially mitigates but fundamentally cannot solve the instability caused by extreme class imbalance.</w:t>
      </w:r>
    </w:p>
    <w:p>
      <w:pPr>
        <w:spacing w:after="60" w:before="60"/>
      </w:pPr>
      <w:r>
        <w:rPr>
          <w:sz w:val="22"/>
          <w:szCs w:val="22"/>
        </w:rPr>
        <w:t xml:space="preserve"/>
      </w:r>
    </w:p>
    <w:p>
      <w:pPr>
        <w:pStyle w:val="Heading2"/>
        <w:spacing w:after="120" w:before="240"/>
      </w:pPr>
      <w:r>
        <w:rPr>
          <w:rFonts w:ascii="Arial" w:cs="Arial" w:eastAsia="Arial" w:hAnsi="Arial"/>
          <w:b/>
          <w:bCs/>
          <w:color w:val="1A3366"/>
          <w:sz w:val="26"/>
          <w:szCs w:val="26"/>
        </w:rPr>
        <w:t xml:space="preserve">Finding 2: Random Under-Sampling actively makes SHAP stability worse</w:t>
      </w:r>
    </w:p>
    <w:p>
      <w:pPr>
        <w:spacing w:after="80" w:before="80"/>
        <w:jc w:val="both"/>
      </w:pPr>
      <w:r>
        <w:rPr>
          <w:rFonts w:ascii="Arial" w:cs="Arial" w:eastAsia="Arial" w:hAnsi="Arial"/>
          <w:sz w:val="22"/>
          <w:szCs w:val="22"/>
        </w:rPr>
        <w:t xml:space="preserve">RUS is the only strategy that consistently underperforms the baseline. On SHAP SRA, RUS produces values of 32.67 at 1% versus the baseline's 32.56 — making feature rankings slightly less stable. On SHAP CV, RUS consistently shows the highest values of all strategies across all default rates below 40%. This is an important practical warning: financial institutions applying RUS to improve classification accuracy may inadvertently make their SHAP explanations less consistent and less trustworthy.</w:t>
      </w:r>
    </w:p>
    <w:p>
      <w:pPr>
        <w:spacing w:after="60" w:before="60"/>
      </w:pPr>
      <w:r>
        <w:rPr>
          <w:sz w:val="22"/>
          <w:szCs w:val="22"/>
        </w:rPr>
        <w:t xml:space="preserve"/>
      </w:r>
    </w:p>
    <w:p>
      <w:pPr>
        <w:spacing w:after="80" w:before="80"/>
        <w:jc w:val="both"/>
      </w:pPr>
      <w:r>
        <w:rPr>
          <w:rFonts w:ascii="Arial" w:cs="Arial" w:eastAsia="Arial" w:hAnsi="Arial"/>
          <w:sz w:val="22"/>
          <w:szCs w:val="22"/>
        </w:rPr>
        <w:t xml:space="preserve">The explanation is intuitive: RUS removes majority class data points from the training set. SHAP's Tree SHAP algorithm uses interventional expectations over a background dataset (Equation 5 in Chen et al. 2024). Fewer background samples means higher variance in these expectations — directly increasing SHAP instability.</w:t>
      </w:r>
    </w:p>
    <w:p>
      <w:pPr>
        <w:spacing w:after="60" w:before="60"/>
      </w:pPr>
      <w:r>
        <w:rPr>
          <w:sz w:val="22"/>
          <w:szCs w:val="22"/>
        </w:rPr>
        <w:t xml:space="preserve"/>
      </w:r>
    </w:p>
    <w:p>
      <w:pPr>
        <w:pStyle w:val="Heading2"/>
        <w:spacing w:after="120" w:before="240"/>
      </w:pPr>
      <w:r>
        <w:rPr>
          <w:rFonts w:ascii="Arial" w:cs="Arial" w:eastAsia="Arial" w:hAnsi="Arial"/>
          <w:b/>
          <w:bCs/>
          <w:color w:val="1A3366"/>
          <w:sz w:val="26"/>
          <w:szCs w:val="26"/>
        </w:rPr>
        <w:t xml:space="preserve">Finding 3: Cost-sensitive XGBoost offers only marginal improvement</w:t>
      </w:r>
    </w:p>
    <w:p>
      <w:pPr>
        <w:spacing w:after="80" w:before="80"/>
        <w:jc w:val="both"/>
      </w:pPr>
      <w:r>
        <w:rPr>
          <w:rFonts w:ascii="Arial" w:cs="Arial" w:eastAsia="Arial" w:hAnsi="Arial"/>
          <w:sz w:val="22"/>
          <w:szCs w:val="22"/>
        </w:rPr>
        <w:t xml:space="preserve">Our original hypothesis predicted that cost-sensitive learning would outperform resampling by avoiding additional randomness in training data. This hypothesis was not supported. Cost-sensitive XGBoost improves slightly over baseline (CV: 0.844 vs 0.846 at 1%) but is clearly outperformed by SMOTE and ADASYN on both metrics at all extreme imbalance levels.</w:t>
      </w:r>
    </w:p>
    <w:p>
      <w:pPr>
        <w:spacing w:after="60" w:before="60"/>
      </w:pPr>
      <w:r>
        <w:rPr>
          <w:sz w:val="22"/>
          <w:szCs w:val="22"/>
        </w:rPr>
        <w:t xml:space="preserve"/>
      </w:r>
    </w:p>
    <w:p>
      <w:pPr>
        <w:spacing w:after="80" w:before="80"/>
        <w:jc w:val="both"/>
      </w:pPr>
      <w:r>
        <w:rPr>
          <w:rFonts w:ascii="Arial" w:cs="Arial" w:eastAsia="Arial" w:hAnsi="Arial"/>
          <w:sz w:val="22"/>
          <w:szCs w:val="22"/>
        </w:rPr>
        <w:t xml:space="preserve">The reason is that scale_pos_weight adjusts the loss function but does not add minority class representation to the background dataset used by Tree SHAP. SHAP's interventional expectations (Eq. 5) are computed over the training set — which remains sparse in the minority class regardless of the cost weight applied.</w:t>
      </w:r>
    </w:p>
    <w:p>
      <w:pPr>
        <w:spacing w:after="60" w:before="60"/>
      </w:pPr>
      <w:r>
        <w:rPr>
          <w:sz w:val="22"/>
          <w:szCs w:val="22"/>
        </w:rPr>
        <w:t xml:space="preserve"/>
      </w:r>
    </w:p>
    <w:p>
      <w:pPr>
        <w:pStyle w:val="Heading2"/>
        <w:spacing w:after="120" w:before="240"/>
      </w:pPr>
      <w:r>
        <w:rPr>
          <w:rFonts w:ascii="Arial" w:cs="Arial" w:eastAsia="Arial" w:hAnsi="Arial"/>
          <w:b/>
          <w:bCs/>
          <w:color w:val="1A3366"/>
          <w:sz w:val="26"/>
          <w:szCs w:val="26"/>
        </w:rPr>
        <w:t xml:space="preserve">Finding 4: All strategies converge at 50% default rate</w:t>
      </w:r>
    </w:p>
    <w:p>
      <w:pPr>
        <w:spacing w:after="80" w:before="80"/>
        <w:jc w:val="both"/>
      </w:pPr>
      <w:r>
        <w:rPr>
          <w:rFonts w:ascii="Arial" w:cs="Arial" w:eastAsia="Arial" w:hAnsi="Arial"/>
          <w:sz w:val="22"/>
          <w:szCs w:val="22"/>
        </w:rPr>
        <w:t xml:space="preserve">At balanced class distribution (50%), all five strategies produce identical SHAP CV values of 0.651. This confirms that the differences between strategies are entirely driven by the imbalance correction mechanism, and that with sufficient minority class representation no correction is needed. This finding aligns with the original paper's core conclusion that imbalance, not model choice, is the root cause of instability.</w:t>
      </w:r>
    </w:p>
    <w:p>
      <w:pPr>
        <w:pStyle w:val="Heading1"/>
        <w:spacing w:after="160" w:before="320"/>
      </w:pPr>
      <w:r>
        <w:rPr>
          <w:rFonts w:ascii="Arial" w:cs="Arial" w:eastAsia="Arial" w:hAnsi="Arial"/>
          <w:b/>
          <w:bCs/>
          <w:color w:val="2E4691"/>
          <w:sz w:val="32"/>
          <w:szCs w:val="32"/>
        </w:rPr>
        <w:t xml:space="preserve">6. Discussion</w:t>
      </w:r>
    </w:p>
    <w:p>
      <w:pPr>
        <w:pStyle w:val="Heading2"/>
        <w:spacing w:after="120" w:before="240"/>
      </w:pPr>
      <w:r>
        <w:rPr>
          <w:rFonts w:ascii="Arial" w:cs="Arial" w:eastAsia="Arial" w:hAnsi="Arial"/>
          <w:b/>
          <w:bCs/>
          <w:color w:val="1A3366"/>
          <w:sz w:val="26"/>
          <w:szCs w:val="26"/>
        </w:rPr>
        <w:t xml:space="preserve">6.1 Practical Implications</w:t>
      </w:r>
    </w:p>
    <w:p>
      <w:pPr>
        <w:spacing w:after="80" w:before="80"/>
        <w:jc w:val="both"/>
      </w:pPr>
      <w:r>
        <w:rPr>
          <w:rFonts w:ascii="Arial" w:cs="Arial" w:eastAsia="Arial" w:hAnsi="Arial"/>
          <w:sz w:val="22"/>
          <w:szCs w:val="22"/>
        </w:rPr>
        <w:t xml:space="preserve">Our findings carry direct implications for financial institutions and regulators. Three concrete recommendations emerge from this study:</w:t>
      </w:r>
    </w:p>
    <w:p>
      <w:pPr>
        <w:spacing w:after="60" w:before="60"/>
      </w:pPr>
      <w:r>
        <w:rPr>
          <w:sz w:val="22"/>
          <w:szCs w:val="22"/>
        </w:rPr>
        <w:t xml:space="preserve"/>
      </w:r>
    </w:p>
    <w:p>
      <w:pPr>
        <w:pStyle w:val="ListParagraph"/>
        <w:numPr>
          <w:ilvl w:val="0"/>
          <w:numId w:val="2"/>
        </w:numPr>
        <w:spacing w:after="60" w:before="60"/>
      </w:pPr>
      <w:r>
        <w:rPr>
          <w:rFonts w:ascii="Arial" w:cs="Arial" w:eastAsia="Arial" w:hAnsi="Arial"/>
          <w:sz w:val="22"/>
          <w:szCs w:val="22"/>
        </w:rPr>
        <w:t xml:space="preserve">Avoid Random Under-Sampling when interpretability is required. RUS is commonly used because it is computationally cheap and easy to implement. Our results show it is the worst choice when SHAP explanations are part of the workflow, degrading both value and ranking stability.</w:t>
      </w:r>
    </w:p>
    <w:p>
      <w:pPr>
        <w:pStyle w:val="ListParagraph"/>
        <w:numPr>
          <w:ilvl w:val="0"/>
          <w:numId w:val="2"/>
        </w:numPr>
        <w:spacing w:after="60" w:before="60"/>
      </w:pPr>
      <w:r>
        <w:rPr>
          <w:rFonts w:ascii="Arial" w:cs="Arial" w:eastAsia="Arial" w:hAnsi="Arial"/>
          <w:sz w:val="22"/>
          <w:szCs w:val="22"/>
        </w:rPr>
        <w:t xml:space="preserve">Use SMOTE or ADASYN as the preferred correction when both predictive accuracy and explanation stability are required. While the improvement is modest (3–7%), it is consistent across all default rate levels, and the computational cost is acceptable.</w:t>
      </w:r>
    </w:p>
    <w:p>
      <w:pPr>
        <w:pStyle w:val="ListParagraph"/>
        <w:numPr>
          <w:ilvl w:val="0"/>
          <w:numId w:val="2"/>
        </w:numPr>
        <w:spacing w:after="60" w:before="60"/>
      </w:pPr>
      <w:r>
        <w:rPr>
          <w:rFonts w:ascii="Arial" w:cs="Arial" w:eastAsia="Arial" w:hAnsi="Arial"/>
          <w:sz w:val="22"/>
          <w:szCs w:val="22"/>
        </w:rPr>
        <w:t xml:space="preserve">Do not assume that correcting for imbalance fixes the explainability problem. Even with SMOTE at 1% default rate, SHAP CV remains 25% higher than at balanced conditions. Practitioners should still flag extreme imbalance (below 5% default rate) as a reliability risk for SHAP-based explanations, regardless of what correction strategy is applied.</w:t>
      </w:r>
    </w:p>
    <w:p>
      <w:pPr>
        <w:spacing w:after="60" w:before="60"/>
      </w:pPr>
      <w:r>
        <w:rPr>
          <w:sz w:val="22"/>
          <w:szCs w:val="22"/>
        </w:rPr>
        <w:t xml:space="preserve"/>
      </w:r>
    </w:p>
    <w:p>
      <w:pPr>
        <w:pStyle w:val="Heading2"/>
        <w:spacing w:after="120" w:before="240"/>
      </w:pPr>
      <w:r>
        <w:rPr>
          <w:rFonts w:ascii="Arial" w:cs="Arial" w:eastAsia="Arial" w:hAnsi="Arial"/>
          <w:b/>
          <w:bCs/>
          <w:color w:val="1A3366"/>
          <w:sz w:val="26"/>
          <w:szCs w:val="26"/>
        </w:rPr>
        <w:t xml:space="preserve">6.2 Limitations</w:t>
      </w:r>
    </w:p>
    <w:p>
      <w:pPr>
        <w:spacing w:after="80" w:before="80"/>
        <w:jc w:val="both"/>
      </w:pPr>
      <w:r>
        <w:rPr>
          <w:rFonts w:ascii="Arial" w:cs="Arial" w:eastAsia="Arial" w:hAnsi="Arial"/>
          <w:sz w:val="22"/>
          <w:szCs w:val="22"/>
        </w:rPr>
        <w:t xml:space="preserve">This study has three main limitations. First, we used only the Taiwan Credit Card dataset; results may differ on the South German Credit dataset or real mortgage data with lower base rates. Second, we used 30 iterations per condition for computational feasibility; the original paper used 100, which provides tighter stability estimates. Third, we focus only on SHAP — the original paper also analyses LIME, whose stability behaviour under resampling may differ due to its neighbourhood-sampling mechanism.</w:t>
      </w:r>
    </w:p>
    <w:p>
      <w:pPr>
        <w:pStyle w:val="Heading1"/>
        <w:spacing w:after="160" w:before="320"/>
      </w:pPr>
      <w:r>
        <w:rPr>
          <w:rFonts w:ascii="Arial" w:cs="Arial" w:eastAsia="Arial" w:hAnsi="Arial"/>
          <w:b/>
          <w:bCs/>
          <w:color w:val="2E4691"/>
          <w:sz w:val="32"/>
          <w:szCs w:val="32"/>
        </w:rPr>
        <w:t xml:space="preserve">7. Conclusion</w:t>
      </w:r>
    </w:p>
    <w:p>
      <w:pPr>
        <w:spacing w:after="80" w:before="80"/>
        <w:jc w:val="both"/>
      </w:pPr>
      <w:r>
        <w:rPr>
          <w:rFonts w:ascii="Arial" w:cs="Arial" w:eastAsia="Arial" w:hAnsi="Arial"/>
          <w:sz w:val="22"/>
          <w:szCs w:val="22"/>
        </w:rPr>
        <w:t xml:space="preserve">This study extends the work of Chen et al. (2024) by directly answering their stated future research question: do imbalanced-learning techniques improve SHAP stability? We find that the answer is nuanced. Oversampling methods (SMOTE and ADASYN) provide a modest but consistent improvement in both SHAP CV and SHAP SRA at extreme imbalance, with SMOTE reducing SHAP SRA by 7.3% at 1% default rate. Random Under-Sampling actively worsens SHAP stability. Cost-sensitive XGBoost provides only negligible improvement despite being theoretically appealing.</w:t>
      </w:r>
    </w:p>
    <w:p>
      <w:pPr>
        <w:spacing w:after="60" w:before="60"/>
      </w:pPr>
      <w:r>
        <w:rPr>
          <w:sz w:val="22"/>
          <w:szCs w:val="22"/>
        </w:rPr>
        <w:t xml:space="preserve"/>
      </w:r>
    </w:p>
    <w:p>
      <w:pPr>
        <w:spacing w:after="80" w:before="80"/>
        <w:jc w:val="both"/>
      </w:pPr>
      <w:r>
        <w:rPr>
          <w:rFonts w:ascii="Arial" w:cs="Arial" w:eastAsia="Arial" w:hAnsi="Arial"/>
          <w:sz w:val="22"/>
          <w:szCs w:val="22"/>
        </w:rPr>
        <w:t xml:space="preserve">Most importantly, no strategy eliminates the fundamental instability caused by extreme class imbalance. This confirms that the problem identified by Chen et al. is structural — rooted in sparse minority class data that SHAP's interventional expectations cannot compensate for regardless of what correction is applied at the training stage. Future work should investigate whether modifying SHAP's background dataset directly (e.g., using a class-balanced background subset) can more directly address this source of instability.</w:t>
      </w:r>
    </w:p>
    <w:p>
      <w:pPr>
        <w:pStyle w:val="Heading1"/>
        <w:spacing w:after="160" w:before="320"/>
      </w:pPr>
      <w:r>
        <w:rPr>
          <w:rFonts w:ascii="Arial" w:cs="Arial" w:eastAsia="Arial" w:hAnsi="Arial"/>
          <w:b/>
          <w:bCs/>
          <w:color w:val="2E4691"/>
          <w:sz w:val="32"/>
          <w:szCs w:val="32"/>
        </w:rPr>
        <w:t xml:space="preserve">8. References</w:t>
      </w:r>
    </w:p>
    <w:p>
      <w:pPr>
        <w:spacing w:after="80" w:before="80"/>
        <w:jc w:val="left"/>
      </w:pPr>
      <w:r>
        <w:rPr>
          <w:rFonts w:ascii="Arial" w:cs="Arial" w:eastAsia="Arial" w:hAnsi="Arial"/>
          <w:sz w:val="22"/>
          <w:szCs w:val="22"/>
        </w:rPr>
        <w:t xml:space="preserve">Chen, Y., Calabrese, R., &amp; Martin-Barragan, B. (2024). Interpretable machine learning for imbalanced credit scoring datasets. European Journal of Operational Research, 312, 357–372.</w:t>
      </w:r>
    </w:p>
    <w:p>
      <w:pPr>
        <w:spacing w:after="80" w:before="80"/>
        <w:jc w:val="left"/>
      </w:pPr>
      <w:r>
        <w:rPr>
          <w:rFonts w:ascii="Arial" w:cs="Arial" w:eastAsia="Arial" w:hAnsi="Arial"/>
          <w:sz w:val="22"/>
          <w:szCs w:val="22"/>
        </w:rPr>
        <w:t xml:space="preserve">Chawla, N. V., Bowyer, K. W., Hall, L. O., &amp; Kegelmeyer, W. P. (2002). SMOTE: Synthetic minority over-sampling technique. Journal of Artificial Intelligence Research, 16, 321–357.</w:t>
      </w:r>
    </w:p>
    <w:p>
      <w:pPr>
        <w:spacing w:after="80" w:before="80"/>
        <w:jc w:val="left"/>
      </w:pPr>
      <w:r>
        <w:rPr>
          <w:rFonts w:ascii="Arial" w:cs="Arial" w:eastAsia="Arial" w:hAnsi="Arial"/>
          <w:sz w:val="22"/>
          <w:szCs w:val="22"/>
        </w:rPr>
        <w:t xml:space="preserve">He, H., Bai, Y., Garcia, E. A., &amp; Li, S. (2008). ADASYN: Adaptive synthetic sampling approach for imbalanced learning. IEEE International Joint Conference on Neural Networks, 1322–1328.</w:t>
      </w:r>
    </w:p>
    <w:p>
      <w:pPr>
        <w:spacing w:after="80" w:before="80"/>
        <w:jc w:val="left"/>
      </w:pPr>
      <w:r>
        <w:rPr>
          <w:rFonts w:ascii="Arial" w:cs="Arial" w:eastAsia="Arial" w:hAnsi="Arial"/>
          <w:sz w:val="22"/>
          <w:szCs w:val="22"/>
        </w:rPr>
        <w:t xml:space="preserve">Lundberg, S. M., &amp; Lee, S. I. (2017). A unified approach to interpreting model predictions. Advances in Neural Information Processing Systems, 30, 4768–4777.</w:t>
      </w:r>
    </w:p>
    <w:p>
      <w:pPr>
        <w:spacing w:after="80" w:before="80"/>
        <w:jc w:val="left"/>
      </w:pPr>
      <w:r>
        <w:rPr>
          <w:rFonts w:ascii="Arial" w:cs="Arial" w:eastAsia="Arial" w:hAnsi="Arial"/>
          <w:sz w:val="22"/>
          <w:szCs w:val="22"/>
        </w:rPr>
        <w:t xml:space="preserve">Lundberg, S. M., et al. (2020). From local explanations to global understanding with explainable AI for trees. Nature Machine Intelligence, 2(1), 56–67.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DS357 Explainable AI | Phase 3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69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3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2026-04-08T19:36:59.102Z</dcterms:created>
  <dcterms:modified xsi:type="dcterms:W3CDTF">2026-04-08T19:36:59.104Z</dcterms:modified>
</cp:coreProperties>
</file>

<file path=docProps/custom.xml><?xml version="1.0" encoding="utf-8"?>
<Properties xmlns="http://schemas.openxmlformats.org/officeDocument/2006/custom-properties" xmlns:vt="http://schemas.openxmlformats.org/officeDocument/2006/docPropsVTypes"/>
</file>